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6456EF10"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w:t>
      </w:r>
      <w:r w:rsidR="00EA3747">
        <w:rPr>
          <w:rFonts w:ascii="Arial" w:hAnsi="Arial" w:cs="Arial"/>
          <w:sz w:val="22"/>
          <w:szCs w:val="22"/>
        </w:rPr>
        <w:t>30</w:t>
      </w:r>
      <w:r>
        <w:rPr>
          <w:rFonts w:ascii="Arial" w:hAnsi="Arial" w:cs="Arial"/>
          <w:sz w:val="22"/>
          <w:szCs w:val="22"/>
        </w:rPr>
        <w:tab/>
      </w:r>
      <w:bookmarkStart w:id="2" w:name="_Hlk197680591"/>
      <w:r w:rsidR="003C56DD" w:rsidRPr="003C56DD">
        <w:rPr>
          <w:rFonts w:ascii="Arial" w:hAnsi="Arial" w:cs="Arial"/>
          <w:sz w:val="22"/>
          <w:szCs w:val="22"/>
        </w:rPr>
        <w:t>R2-2504289</w:t>
      </w:r>
      <w:bookmarkEnd w:id="2"/>
    </w:p>
    <w:bookmarkEnd w:id="0"/>
    <w:bookmarkEnd w:id="1"/>
    <w:p w14:paraId="0EFBAD35" w14:textId="54A30911" w:rsidR="00A03B5B" w:rsidRPr="00361820" w:rsidRDefault="00EA3747" w:rsidP="00361820">
      <w:pPr>
        <w:pStyle w:val="3GPPHeader"/>
        <w:spacing w:after="120" w:line="240" w:lineRule="auto"/>
        <w:rPr>
          <w:rFonts w:ascii="Arial" w:eastAsia="Malgun Gothic" w:hAnsi="Arial" w:cs="Arial"/>
          <w:sz w:val="22"/>
          <w:szCs w:val="22"/>
          <w:lang w:val="en-US" w:eastAsia="en-US"/>
        </w:rPr>
      </w:pPr>
      <w:r w:rsidRPr="00EA3747">
        <w:rPr>
          <w:rFonts w:ascii="Arial" w:eastAsia="Malgun Gothic" w:hAnsi="Arial" w:cs="Arial"/>
          <w:sz w:val="22"/>
          <w:szCs w:val="22"/>
          <w:lang w:val="en-US" w:eastAsia="en-US"/>
        </w:rPr>
        <w:t xml:space="preserve">St Julian’s, Malta, 19 – 23 May </w:t>
      </w:r>
      <w:r w:rsidR="00001616" w:rsidRPr="00001616">
        <w:rPr>
          <w:rFonts w:ascii="Arial" w:eastAsia="Malgun Gothic" w:hAnsi="Arial" w:cs="Arial"/>
          <w:sz w:val="22"/>
          <w:szCs w:val="22"/>
          <w:lang w:val="en-US" w:eastAsia="en-US"/>
        </w:rPr>
        <w:t>2025</w:t>
      </w:r>
      <w:r w:rsidR="008B746A" w:rsidRPr="008B746A">
        <w:rPr>
          <w:rFonts w:ascii="Arial" w:eastAsia="Malgun Gothic" w:hAnsi="Arial" w:cs="Arial"/>
          <w:sz w:val="22"/>
          <w:szCs w:val="22"/>
          <w:lang w:val="en-US" w:eastAsia="en-US"/>
        </w:rPr>
        <w:t xml:space="preserve"> </w:t>
      </w:r>
      <w:r w:rsidR="008B746A">
        <w:rPr>
          <w:rFonts w:ascii="Arial" w:eastAsia="Malgun Gothic" w:hAnsi="Arial" w:cs="Arial"/>
          <w:sz w:val="22"/>
          <w:szCs w:val="22"/>
          <w:lang w:val="en-US" w:eastAsia="en-US"/>
        </w:rPr>
        <w:tab/>
        <w:t xml:space="preserve">Revision of </w:t>
      </w:r>
      <w:hyperlink r:id="rId7" w:history="1">
        <w:r w:rsidR="008B746A" w:rsidRPr="008B746A">
          <w:rPr>
            <w:rStyle w:val="Hyperlink"/>
            <w:rFonts w:ascii="Arial" w:eastAsia="Malgun Gothic" w:hAnsi="Arial" w:cs="Arial"/>
            <w:sz w:val="22"/>
            <w:szCs w:val="22"/>
            <w:lang w:val="en-US" w:eastAsia="en-US"/>
          </w:rPr>
          <w:t>R2-2502911</w:t>
        </w:r>
      </w:hyperlink>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68D26E7F" w14:textId="77777777" w:rsidR="00700866" w:rsidRPr="009F7EA3" w:rsidRDefault="00700866" w:rsidP="00700866">
      <w:pPr>
        <w:pStyle w:val="3GPPHeader"/>
        <w:spacing w:after="120"/>
        <w:rPr>
          <w:rFonts w:ascii="Arial" w:hAnsi="Arial" w:cs="Arial"/>
          <w:b w:val="0"/>
          <w:bCs/>
          <w:sz w:val="22"/>
        </w:rPr>
      </w:pPr>
      <w:r w:rsidRPr="00C64381">
        <w:rPr>
          <w:rFonts w:ascii="Arial" w:hAnsi="Arial" w:cs="Arial"/>
          <w:sz w:val="22"/>
        </w:rPr>
        <w:t>Agenda Item:</w:t>
      </w:r>
      <w:r w:rsidRPr="00C64381">
        <w:rPr>
          <w:rFonts w:ascii="Arial" w:hAnsi="Arial" w:cs="Arial"/>
          <w:sz w:val="22"/>
        </w:rPr>
        <w:tab/>
      </w:r>
      <w:r w:rsidRPr="00C64381">
        <w:rPr>
          <w:rFonts w:ascii="Arial" w:hAnsi="Arial" w:cs="Arial"/>
          <w:b w:val="0"/>
          <w:bCs/>
          <w:sz w:val="22"/>
        </w:rPr>
        <w:t>8.4.3 RRM measurement relaxation and offloading in RRC_IDLE/INACTIVE</w:t>
      </w:r>
    </w:p>
    <w:p w14:paraId="6BE5E396" w14:textId="77777777" w:rsidR="00700866" w:rsidRPr="0050109B" w:rsidRDefault="00700866" w:rsidP="00700866">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6D58EF72" w14:textId="77777777" w:rsidR="00700866" w:rsidRPr="008F7D64" w:rsidRDefault="00700866" w:rsidP="00700866">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Pr>
          <w:rFonts w:ascii="Arial" w:hAnsi="Arial" w:cs="Arial"/>
          <w:b w:val="0"/>
          <w:bCs/>
          <w:sz w:val="22"/>
          <w:lang w:val="en-US"/>
        </w:rPr>
        <w:t>LP-WUS</w:t>
      </w:r>
      <w:r w:rsidRPr="00806848">
        <w:rPr>
          <w:rFonts w:ascii="Arial" w:hAnsi="Arial" w:cs="Arial"/>
          <w:b w:val="0"/>
          <w:bCs/>
          <w:sz w:val="22"/>
          <w:lang w:val="en-US"/>
        </w:rPr>
        <w:t xml:space="preserve"> </w:t>
      </w:r>
      <w:r w:rsidRPr="00AB2663">
        <w:rPr>
          <w:rFonts w:ascii="Arial" w:hAnsi="Arial" w:cs="Arial"/>
          <w:b w:val="0"/>
          <w:bCs/>
          <w:sz w:val="22"/>
          <w:lang w:val="en-US"/>
        </w:rPr>
        <w:t>and RRM measurements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050C6BB0" w14:textId="77777777" w:rsidR="00DA4DDB" w:rsidRDefault="00DA4DDB" w:rsidP="00DA4DDB">
      <w:pPr>
        <w:rPr>
          <w:lang w:val="en-GB" w:eastAsia="zh-CN"/>
        </w:rPr>
      </w:pPr>
      <w:bookmarkStart w:id="3" w:name="_Toc242573354"/>
      <w:r>
        <w:rPr>
          <w:lang w:val="en-GB" w:eastAsia="zh-CN"/>
        </w:rPr>
        <w:t xml:space="preserve">In this contribution the open issues for LP-WUS and RRM measurements are discussed further. </w:t>
      </w:r>
    </w:p>
    <w:p w14:paraId="488C0179" w14:textId="77777777" w:rsidR="00DA4DDB" w:rsidRDefault="00DA4DDB" w:rsidP="00DA4DDB">
      <w:pPr>
        <w:rPr>
          <w:lang w:val="en-GB" w:eastAsia="zh-CN"/>
        </w:rPr>
      </w:pPr>
      <w:bookmarkStart w:id="4" w:name="_Hlk178914658"/>
      <w:r>
        <w:rPr>
          <w:lang w:val="en-GB" w:eastAsia="zh-CN"/>
        </w:rPr>
        <w:t>For the RAN2 and RAN4 agreements in previous meetings the reader is referred to the Annex.</w:t>
      </w:r>
      <w:bookmarkEnd w:id="4"/>
    </w:p>
    <w:p w14:paraId="15EB03C9" w14:textId="77777777" w:rsidR="0067467B" w:rsidRDefault="0067467B" w:rsidP="0067467B">
      <w:pPr>
        <w:pStyle w:val="Heading1"/>
      </w:pPr>
      <w:r>
        <w:t>Discussion</w:t>
      </w:r>
    </w:p>
    <w:p w14:paraId="0149E938" w14:textId="09774DD4" w:rsidR="0067467B" w:rsidRDefault="0067467B" w:rsidP="0067467B">
      <w:pPr>
        <w:pStyle w:val="Heading2"/>
      </w:pPr>
      <w:r>
        <w:t>Reduced number of thresholds</w:t>
      </w:r>
    </w:p>
    <w:p w14:paraId="537E4CAB" w14:textId="090984E3" w:rsidR="00961AA4" w:rsidRDefault="00C178CE" w:rsidP="00961AA4">
      <w:pPr>
        <w:rPr>
          <w:lang w:val="en-GB" w:eastAsia="zh-CN"/>
        </w:rPr>
      </w:pPr>
      <w:r>
        <w:rPr>
          <w:lang w:val="en-GB" w:eastAsia="zh-CN"/>
        </w:rPr>
        <w:t xml:space="preserve">RAN2 discussed the need to reduce the number of thresholds, counting up to </w:t>
      </w:r>
      <w:r w:rsidRPr="00C178CE">
        <w:rPr>
          <w:lang w:val="en-GB" w:eastAsia="zh-CN"/>
        </w:rPr>
        <w:t>40 or 56</w:t>
      </w:r>
      <w:r>
        <w:rPr>
          <w:lang w:val="en-GB" w:eastAsia="zh-CN"/>
        </w:rPr>
        <w:t xml:space="preserve"> [1, 2].</w:t>
      </w:r>
      <w:r w:rsidR="001030C1">
        <w:rPr>
          <w:lang w:val="en-GB" w:eastAsia="zh-CN"/>
        </w:rPr>
        <w:t xml:space="preserve"> RAN2 agreed that for some use cases the same threshold is used, see Appendix</w:t>
      </w:r>
      <w:r w:rsidR="00F425FB">
        <w:rPr>
          <w:lang w:val="en-GB" w:eastAsia="zh-CN"/>
        </w:rPr>
        <w:t>:</w:t>
      </w:r>
    </w:p>
    <w:p w14:paraId="07AFD22A" w14:textId="1443C9A9" w:rsidR="00F425FB" w:rsidRPr="00F425FB" w:rsidRDefault="00F425FB" w:rsidP="00F425FB">
      <w:pPr>
        <w:pStyle w:val="ListParagraph"/>
        <w:numPr>
          <w:ilvl w:val="0"/>
          <w:numId w:val="16"/>
        </w:numPr>
        <w:rPr>
          <w:lang w:val="en-GB" w:eastAsia="zh-CN"/>
        </w:rPr>
      </w:pPr>
      <w:r w:rsidRPr="00F425FB">
        <w:rPr>
          <w:lang w:val="en-GB" w:eastAsia="zh-CN"/>
        </w:rPr>
        <w:t xml:space="preserve">The same threshold </w:t>
      </w:r>
      <w:r>
        <w:rPr>
          <w:lang w:val="en-GB" w:eastAsia="zh-CN"/>
        </w:rPr>
        <w:t>is</w:t>
      </w:r>
      <w:r w:rsidRPr="00F425FB">
        <w:rPr>
          <w:lang w:val="en-GB" w:eastAsia="zh-CN"/>
        </w:rPr>
        <w:t xml:space="preserve"> used for </w:t>
      </w:r>
      <w:r w:rsidRPr="00F425FB">
        <w:rPr>
          <w:szCs w:val="16"/>
          <w:lang w:eastAsia="zh-CN"/>
        </w:rPr>
        <w:t>OFDM-based WUR measuring LP-SS only and OOK-based WUR measuring LP-SS.</w:t>
      </w:r>
    </w:p>
    <w:p w14:paraId="0A3AE7C5" w14:textId="379DC2DA" w:rsidR="00F425FB" w:rsidRPr="00F425FB" w:rsidRDefault="00F425FB" w:rsidP="00F425FB">
      <w:pPr>
        <w:pStyle w:val="ListParagraph"/>
        <w:numPr>
          <w:ilvl w:val="0"/>
          <w:numId w:val="16"/>
        </w:numPr>
        <w:rPr>
          <w:lang w:val="en-GB" w:eastAsia="zh-CN"/>
        </w:rPr>
      </w:pPr>
      <w:r>
        <w:rPr>
          <w:szCs w:val="16"/>
          <w:lang w:eastAsia="zh-CN"/>
        </w:rPr>
        <w:t xml:space="preserve">The same threshold is used for serving </w:t>
      </w:r>
      <w:r>
        <w:rPr>
          <w:bCs/>
          <w:iCs/>
          <w:szCs w:val="16"/>
          <w:lang w:eastAsia="zh-CN"/>
        </w:rPr>
        <w:t>cell</w:t>
      </w:r>
      <w:r w:rsidRPr="00996D60">
        <w:rPr>
          <w:bCs/>
          <w:iCs/>
          <w:szCs w:val="16"/>
          <w:lang w:eastAsia="zh-CN"/>
        </w:rPr>
        <w:t xml:space="preserve"> measurement relaxation</w:t>
      </w:r>
      <w:r>
        <w:rPr>
          <w:bCs/>
          <w:iCs/>
          <w:szCs w:val="16"/>
          <w:lang w:eastAsia="zh-CN"/>
        </w:rPr>
        <w:t xml:space="preserve"> (Rel-19)</w:t>
      </w:r>
      <w:r w:rsidRPr="00996D60">
        <w:rPr>
          <w:bCs/>
          <w:iCs/>
          <w:szCs w:val="16"/>
          <w:lang w:eastAsia="zh-CN"/>
        </w:rPr>
        <w:t xml:space="preserve"> and </w:t>
      </w:r>
      <w:r>
        <w:rPr>
          <w:bCs/>
          <w:iCs/>
          <w:szCs w:val="16"/>
          <w:lang w:eastAsia="zh-CN"/>
        </w:rPr>
        <w:t xml:space="preserve">further neighbour cell </w:t>
      </w:r>
      <w:r w:rsidRPr="00996D60">
        <w:rPr>
          <w:bCs/>
          <w:iCs/>
          <w:szCs w:val="16"/>
          <w:lang w:eastAsia="zh-CN"/>
        </w:rPr>
        <w:t>measurement relaxation</w:t>
      </w:r>
      <w:r>
        <w:rPr>
          <w:bCs/>
          <w:iCs/>
          <w:szCs w:val="16"/>
          <w:lang w:eastAsia="zh-CN"/>
        </w:rPr>
        <w:t xml:space="preserve"> (Rel-19)</w:t>
      </w:r>
    </w:p>
    <w:p w14:paraId="0E3205F9" w14:textId="591D18E1" w:rsidR="001030C1" w:rsidRDefault="00F425FB" w:rsidP="00961AA4">
      <w:pPr>
        <w:rPr>
          <w:lang w:val="en-GB" w:eastAsia="zh-CN"/>
        </w:rPr>
      </w:pPr>
      <w:r>
        <w:rPr>
          <w:lang w:val="en-GB" w:eastAsia="zh-CN"/>
        </w:rPr>
        <w:t xml:space="preserve">Open issues: </w:t>
      </w:r>
    </w:p>
    <w:p w14:paraId="2F777B19" w14:textId="27654F7B" w:rsidR="001030C1" w:rsidRDefault="00F425FB" w:rsidP="00105477">
      <w:pPr>
        <w:pStyle w:val="ListParagraph"/>
        <w:numPr>
          <w:ilvl w:val="0"/>
          <w:numId w:val="17"/>
        </w:numPr>
        <w:rPr>
          <w:lang w:val="en-GB" w:eastAsia="zh-CN"/>
        </w:rPr>
      </w:pPr>
      <w:r>
        <w:rPr>
          <w:lang w:val="en-GB" w:eastAsia="zh-CN"/>
        </w:rPr>
        <w:t xml:space="preserve">Whether </w:t>
      </w:r>
      <w:r w:rsidR="001030C1">
        <w:rPr>
          <w:lang w:val="en-GB" w:eastAsia="zh-CN"/>
        </w:rPr>
        <w:t xml:space="preserve">different thresholds are needed w.r.t. WUR type (e.g. OFDM or OOK based) or </w:t>
      </w:r>
      <w:r w:rsidR="006D0AA3">
        <w:rPr>
          <w:lang w:val="en-GB" w:eastAsia="zh-CN"/>
        </w:rPr>
        <w:t xml:space="preserve">WURs with </w:t>
      </w:r>
      <w:r w:rsidR="001030C1">
        <w:rPr>
          <w:lang w:val="en-GB" w:eastAsia="zh-CN"/>
        </w:rPr>
        <w:t xml:space="preserve">different receiver sensitivity, see RAN4 LS </w:t>
      </w:r>
      <w:r w:rsidR="006D0AA3">
        <w:rPr>
          <w:lang w:val="en-GB" w:eastAsia="zh-CN"/>
        </w:rPr>
        <w:t>[3]</w:t>
      </w:r>
      <w:r w:rsidR="001030C1">
        <w:rPr>
          <w:lang w:val="en-GB" w:eastAsia="zh-CN"/>
        </w:rPr>
        <w:t>.</w:t>
      </w:r>
    </w:p>
    <w:p w14:paraId="4A5985DA" w14:textId="6499C300" w:rsidR="00F425FB" w:rsidRPr="00F425FB" w:rsidRDefault="00F425FB" w:rsidP="00105477">
      <w:pPr>
        <w:pStyle w:val="ListParagraph"/>
        <w:numPr>
          <w:ilvl w:val="0"/>
          <w:numId w:val="17"/>
        </w:numPr>
        <w:rPr>
          <w:lang w:val="en-GB" w:eastAsia="zh-CN"/>
        </w:rPr>
      </w:pPr>
      <w:r>
        <w:rPr>
          <w:lang w:val="en-GB" w:eastAsia="zh-CN"/>
        </w:rPr>
        <w:t>Whether the same threshold is used for</w:t>
      </w:r>
      <w:r w:rsidRPr="00F425FB">
        <w:rPr>
          <w:lang w:val="en-GB" w:eastAsia="zh-CN"/>
        </w:rPr>
        <w:t xml:space="preserve"> LPWUS monitoring and serving cell offloading</w:t>
      </w:r>
    </w:p>
    <w:p w14:paraId="62AADCBE" w14:textId="6BF8ECBD" w:rsidR="00A01C4C" w:rsidRPr="00105477" w:rsidRDefault="00A01C4C" w:rsidP="00A01C4C">
      <w:pPr>
        <w:pStyle w:val="ListParagraph"/>
        <w:numPr>
          <w:ilvl w:val="0"/>
          <w:numId w:val="17"/>
        </w:numPr>
        <w:rPr>
          <w:lang w:val="en-GB" w:eastAsia="zh-CN"/>
        </w:rPr>
      </w:pPr>
      <w:r>
        <w:rPr>
          <w:lang w:val="en-GB" w:eastAsia="zh-CN"/>
        </w:rPr>
        <w:t>Whether the same threshold is used for</w:t>
      </w:r>
      <w:r w:rsidRPr="00F425FB">
        <w:rPr>
          <w:lang w:val="en-GB" w:eastAsia="zh-CN"/>
        </w:rPr>
        <w:t xml:space="preserve"> LPWUS monitoring and </w:t>
      </w:r>
      <w:r>
        <w:rPr>
          <w:bCs/>
          <w:iCs/>
          <w:szCs w:val="16"/>
          <w:lang w:eastAsia="zh-CN"/>
        </w:rPr>
        <w:t>serving cell relaxation (Rel-19)</w:t>
      </w:r>
    </w:p>
    <w:p w14:paraId="6770D356" w14:textId="00FACBC1" w:rsidR="00F425FB" w:rsidRPr="00105477" w:rsidRDefault="00F425FB" w:rsidP="00105477">
      <w:pPr>
        <w:pStyle w:val="ListParagraph"/>
        <w:numPr>
          <w:ilvl w:val="0"/>
          <w:numId w:val="17"/>
        </w:numPr>
        <w:rPr>
          <w:lang w:val="en-GB" w:eastAsia="zh-CN"/>
        </w:rPr>
      </w:pPr>
      <w:r>
        <w:rPr>
          <w:lang w:val="en-GB" w:eastAsia="zh-CN"/>
        </w:rPr>
        <w:t>Whether the same threshold is used for</w:t>
      </w:r>
      <w:r w:rsidRPr="00F425FB">
        <w:rPr>
          <w:lang w:val="en-GB" w:eastAsia="zh-CN"/>
        </w:rPr>
        <w:t xml:space="preserve"> LPWUS monitoring and </w:t>
      </w:r>
      <w:r w:rsidR="00105477">
        <w:rPr>
          <w:bCs/>
          <w:iCs/>
          <w:szCs w:val="16"/>
          <w:lang w:eastAsia="zh-CN"/>
        </w:rPr>
        <w:t xml:space="preserve">further neighbour cell </w:t>
      </w:r>
      <w:r w:rsidR="00105477" w:rsidRPr="00996D60">
        <w:rPr>
          <w:bCs/>
          <w:iCs/>
          <w:szCs w:val="16"/>
          <w:lang w:eastAsia="zh-CN"/>
        </w:rPr>
        <w:t>measurement relaxation</w:t>
      </w:r>
      <w:r w:rsidR="00105477">
        <w:rPr>
          <w:bCs/>
          <w:iCs/>
          <w:szCs w:val="16"/>
          <w:lang w:eastAsia="zh-CN"/>
        </w:rPr>
        <w:t xml:space="preserve"> (Rel-19)</w:t>
      </w:r>
    </w:p>
    <w:p w14:paraId="6EDDFD60" w14:textId="2F9E8E8B" w:rsidR="00105477" w:rsidRPr="00105477" w:rsidRDefault="00105477" w:rsidP="00105477">
      <w:pPr>
        <w:pStyle w:val="ListParagraph"/>
        <w:numPr>
          <w:ilvl w:val="0"/>
          <w:numId w:val="17"/>
        </w:numPr>
        <w:rPr>
          <w:lang w:val="en-GB" w:eastAsia="zh-CN"/>
        </w:rPr>
      </w:pPr>
      <w:r>
        <w:rPr>
          <w:lang w:val="en-GB" w:eastAsia="zh-CN"/>
        </w:rPr>
        <w:t xml:space="preserve">RRC-8: </w:t>
      </w:r>
      <w:r w:rsidRPr="00105477">
        <w:rPr>
          <w:lang w:val="en-GB" w:eastAsia="zh-CN"/>
        </w:rPr>
        <w:t>FFS on the relationship between the thresholds for serving cell relaxation and offloading (, neighboring cell relaxation and legacy measurement thresholds (</w:t>
      </w:r>
      <w:r w:rsidRPr="00105477">
        <w:rPr>
          <w:i/>
          <w:iCs/>
          <w:lang w:val="en-GB" w:eastAsia="zh-CN"/>
        </w:rPr>
        <w:t>s-IntraSearchP/s-NonIntraSearchP</w:t>
      </w:r>
      <w:r w:rsidRPr="00105477">
        <w:rPr>
          <w:lang w:val="en-GB" w:eastAsia="zh-CN"/>
        </w:rPr>
        <w:t>))</w:t>
      </w:r>
    </w:p>
    <w:p w14:paraId="5F415909" w14:textId="47EDC8F3" w:rsidR="00652BD3" w:rsidRDefault="00652BD3" w:rsidP="00105477">
      <w:pPr>
        <w:rPr>
          <w:lang w:val="en-GB" w:eastAsia="zh-CN"/>
        </w:rPr>
      </w:pPr>
      <w:r>
        <w:rPr>
          <w:lang w:val="en-GB" w:eastAsia="zh-CN"/>
        </w:rPr>
        <w:t>Open issue 1: is outside RAN2 scope, i.e. RAN2 should wait for RAN1/RAN4 progress.</w:t>
      </w:r>
    </w:p>
    <w:p w14:paraId="43EAE99A" w14:textId="7619FD39" w:rsidR="0006240A" w:rsidRDefault="0006240A" w:rsidP="0006240A">
      <w:pPr>
        <w:pStyle w:val="Proposal"/>
        <w:rPr>
          <w:lang w:val="en-GB"/>
        </w:rPr>
      </w:pPr>
      <w:bookmarkStart w:id="5" w:name="_Toc197683852"/>
      <w:r>
        <w:rPr>
          <w:lang w:val="en-GB"/>
        </w:rPr>
        <w:t>RAN2 to wait for RAN1/RAN4 progress whether different thresholds are needed for different WUR types (e.g. OFDM or OOK) or WURs with different receiver sensitivity (e.g. 18 or 13.5 dB).</w:t>
      </w:r>
      <w:bookmarkEnd w:id="5"/>
    </w:p>
    <w:p w14:paraId="4AE9323B" w14:textId="6AD7B3EB" w:rsidR="00652BD3" w:rsidRDefault="00652BD3" w:rsidP="00105477">
      <w:pPr>
        <w:rPr>
          <w:lang w:val="en-GB" w:eastAsia="zh-CN"/>
        </w:rPr>
      </w:pPr>
      <w:r>
        <w:rPr>
          <w:lang w:val="en-GB" w:eastAsia="zh-CN"/>
        </w:rPr>
        <w:t>Open issue 2: we think that the same threshold can be used</w:t>
      </w:r>
      <w:r w:rsidR="0006240A">
        <w:rPr>
          <w:lang w:val="en-GB" w:eastAsia="zh-CN"/>
        </w:rPr>
        <w:t xml:space="preserve">, i.e. </w:t>
      </w:r>
      <w:r w:rsidR="000B696A">
        <w:rPr>
          <w:lang w:val="en-GB" w:eastAsia="zh-CN"/>
        </w:rPr>
        <w:t>the LP-WUS deployment will target to obtain similar coverage for</w:t>
      </w:r>
      <w:r w:rsidR="0006240A">
        <w:rPr>
          <w:lang w:val="en-GB" w:eastAsia="zh-CN"/>
        </w:rPr>
        <w:t xml:space="preserve"> LP-WUS and LP-SS </w:t>
      </w:r>
      <w:r w:rsidR="000B696A">
        <w:rPr>
          <w:lang w:val="en-GB" w:eastAsia="zh-CN"/>
        </w:rPr>
        <w:t xml:space="preserve">signal. In case only OFDM-based WUR is used, then the coverage is determined by LP-WUS only. Furthermore </w:t>
      </w:r>
      <w:r>
        <w:rPr>
          <w:lang w:val="en-GB" w:eastAsia="zh-CN"/>
        </w:rPr>
        <w:t>there is little power saving gains when the UE is only allowed to monitor LP-WUS or only allowed to offload serving cell measurements:</w:t>
      </w:r>
    </w:p>
    <w:p w14:paraId="3288F02B" w14:textId="0E35B7E2" w:rsidR="00652BD3" w:rsidRDefault="00652BD3" w:rsidP="00652BD3">
      <w:pPr>
        <w:pStyle w:val="Proposal"/>
        <w:rPr>
          <w:lang w:val="en-GB"/>
        </w:rPr>
      </w:pPr>
      <w:bookmarkStart w:id="6" w:name="_Toc197683853"/>
      <w:r>
        <w:rPr>
          <w:lang w:val="en-GB"/>
        </w:rPr>
        <w:lastRenderedPageBreak/>
        <w:t>The same entry/exit threshold is used for LP-WUS monitoring and serving cell offloading</w:t>
      </w:r>
      <w:r w:rsidR="003F10A4">
        <w:rPr>
          <w:lang w:val="en-GB"/>
        </w:rPr>
        <w:t>.</w:t>
      </w:r>
      <w:bookmarkEnd w:id="6"/>
    </w:p>
    <w:p w14:paraId="70656101" w14:textId="6E164BD5" w:rsidR="003F10A4" w:rsidRDefault="003F10A4" w:rsidP="003F10A4">
      <w:pPr>
        <w:rPr>
          <w:lang w:val="en-GB"/>
        </w:rPr>
      </w:pPr>
      <w:r>
        <w:rPr>
          <w:lang w:val="en-GB"/>
        </w:rPr>
        <w:t xml:space="preserve">Open issue 3: we think that serving cell offloading and serving cell relaxation should not be configured together, i.e. the notion that when the UE moves from cell centre to cell edge that the UE first offloads the serving cell measurements and when approaching the cell edge applies a scaling factor, seems academic to us and complex for the NW to configure. </w:t>
      </w:r>
      <w:r w:rsidR="00401FFB">
        <w:rPr>
          <w:lang w:val="en-GB"/>
        </w:rPr>
        <w:t>Furthermore, w</w:t>
      </w:r>
      <w:r>
        <w:rPr>
          <w:lang w:val="en-GB"/>
        </w:rPr>
        <w:t xml:space="preserve">hen </w:t>
      </w:r>
      <w:r w:rsidR="00770AB4">
        <w:rPr>
          <w:lang w:val="en-GB"/>
        </w:rPr>
        <w:t>a moving</w:t>
      </w:r>
      <w:r>
        <w:rPr>
          <w:lang w:val="en-GB"/>
        </w:rPr>
        <w:t xml:space="preserve"> UE applies a large scaling factor then </w:t>
      </w:r>
      <w:r w:rsidR="00770AB4">
        <w:rPr>
          <w:lang w:val="en-GB"/>
        </w:rPr>
        <w:t>this is basically the same as when the UE is not measuring at all</w:t>
      </w:r>
      <w:r w:rsidR="00401FFB">
        <w:rPr>
          <w:lang w:val="en-GB"/>
        </w:rPr>
        <w:t xml:space="preserve"> because the Rel-19 scaling factors are very long</w:t>
      </w:r>
      <w:r>
        <w:rPr>
          <w:lang w:val="en-GB"/>
        </w:rPr>
        <w:t xml:space="preserve">. </w:t>
      </w:r>
      <w:r w:rsidR="00401FFB">
        <w:rPr>
          <w:lang w:val="en-GB"/>
        </w:rPr>
        <w:t>In case the</w:t>
      </w:r>
      <w:r>
        <w:rPr>
          <w:lang w:val="en-GB"/>
        </w:rPr>
        <w:t xml:space="preserve"> UE is offloading the serving cell measurements </w:t>
      </w:r>
      <w:r w:rsidR="00401FFB">
        <w:rPr>
          <w:lang w:val="en-GB"/>
        </w:rPr>
        <w:t>and</w:t>
      </w:r>
      <w:r>
        <w:rPr>
          <w:lang w:val="en-GB"/>
        </w:rPr>
        <w:t xml:space="preserve"> only LR measurements </w:t>
      </w:r>
      <w:r w:rsidR="00401FFB">
        <w:rPr>
          <w:lang w:val="en-GB"/>
        </w:rPr>
        <w:t xml:space="preserve">serving cell measurements </w:t>
      </w:r>
      <w:r>
        <w:rPr>
          <w:lang w:val="en-GB"/>
        </w:rPr>
        <w:t xml:space="preserve">are </w:t>
      </w:r>
      <w:r w:rsidR="00401FFB">
        <w:rPr>
          <w:lang w:val="en-GB"/>
        </w:rPr>
        <w:t>performed then</w:t>
      </w:r>
      <w:r>
        <w:rPr>
          <w:lang w:val="en-GB"/>
        </w:rPr>
        <w:t xml:space="preserve"> the entry condition for serving cell relaxation </w:t>
      </w:r>
      <w:r w:rsidR="00401FFB">
        <w:rPr>
          <w:lang w:val="en-GB"/>
        </w:rPr>
        <w:t>can</w:t>
      </w:r>
      <w:r>
        <w:rPr>
          <w:lang w:val="en-GB"/>
        </w:rPr>
        <w:t xml:space="preserve"> only be based on LR measurement</w:t>
      </w:r>
      <w:r w:rsidR="00C34C4E">
        <w:rPr>
          <w:lang w:val="en-GB"/>
        </w:rPr>
        <w:t>s but RAN2 already agreed that the entry condition can include both MR and LR measurements (similar as the entry condition for serving cell offloading)</w:t>
      </w:r>
      <w:r>
        <w:rPr>
          <w:lang w:val="en-GB"/>
        </w:rPr>
        <w:t xml:space="preserve">: </w:t>
      </w:r>
    </w:p>
    <w:p w14:paraId="7C476057" w14:textId="3884C193" w:rsidR="003F10A4" w:rsidRDefault="003F10A4" w:rsidP="003F10A4">
      <w:pPr>
        <w:pStyle w:val="Proposal"/>
        <w:rPr>
          <w:lang w:val="en-GB"/>
        </w:rPr>
      </w:pPr>
      <w:bookmarkStart w:id="7" w:name="_Toc197683854"/>
      <w:r>
        <w:rPr>
          <w:lang w:val="en-GB"/>
        </w:rPr>
        <w:t xml:space="preserve">The same entry/exit threshold </w:t>
      </w:r>
      <w:r w:rsidR="00770AB4">
        <w:rPr>
          <w:lang w:val="en-GB"/>
        </w:rPr>
        <w:t>can be</w:t>
      </w:r>
      <w:r>
        <w:rPr>
          <w:lang w:val="en-GB"/>
        </w:rPr>
        <w:t xml:space="preserve"> used for LP-WUS monitoring and serving cell </w:t>
      </w:r>
      <w:r w:rsidR="00770AB4">
        <w:rPr>
          <w:lang w:val="en-GB"/>
        </w:rPr>
        <w:t>relaxation when serving cell offloading is not configured.</w:t>
      </w:r>
      <w:bookmarkEnd w:id="7"/>
    </w:p>
    <w:p w14:paraId="76E94A6C" w14:textId="47285984" w:rsidR="00A01C4C" w:rsidRDefault="00652BD3" w:rsidP="00A01C4C">
      <w:pPr>
        <w:rPr>
          <w:lang w:val="en-GB"/>
        </w:rPr>
      </w:pPr>
      <w:r>
        <w:rPr>
          <w:lang w:val="en-GB"/>
        </w:rPr>
        <w:t xml:space="preserve">Open issue </w:t>
      </w:r>
      <w:r w:rsidR="003F10A4">
        <w:rPr>
          <w:lang w:val="en-GB"/>
        </w:rPr>
        <w:t>4</w:t>
      </w:r>
      <w:r>
        <w:rPr>
          <w:lang w:val="en-GB"/>
        </w:rPr>
        <w:t xml:space="preserve">: </w:t>
      </w:r>
      <w:r w:rsidR="00A01C4C">
        <w:rPr>
          <w:lang w:val="en-GB"/>
        </w:rPr>
        <w:t xml:space="preserve">we think that a moving UE in urban environment shall not use a large scaling factor for intra-frequency measurements, i.e. this may impact cell reselection performance and the UE may </w:t>
      </w:r>
      <w:r w:rsidR="00770AB4">
        <w:rPr>
          <w:lang w:val="en-GB"/>
        </w:rPr>
        <w:t>miss</w:t>
      </w:r>
      <w:r w:rsidR="00A01C4C">
        <w:rPr>
          <w:lang w:val="en-GB"/>
        </w:rPr>
        <w:t xml:space="preserve"> paging. If configured, the further neighbour cell relaxation threshold should be close to the cell centre, ensuring that when the UE is moving there is no stronger intra-frequency neighbour cell to reselect to. However that would significantly reduce the usability of LP-WUS to a small area. </w:t>
      </w:r>
    </w:p>
    <w:p w14:paraId="5B7FA79F" w14:textId="208265F0" w:rsidR="00F72C2A" w:rsidRPr="00F72C2A" w:rsidRDefault="00F72C2A" w:rsidP="00F72C2A">
      <w:pPr>
        <w:pStyle w:val="Proposal"/>
        <w:rPr>
          <w:lang w:val="en-GB"/>
        </w:rPr>
      </w:pPr>
      <w:bookmarkStart w:id="8" w:name="_Toc197683855"/>
      <w:r>
        <w:rPr>
          <w:lang w:val="en-GB"/>
        </w:rPr>
        <w:t xml:space="preserve">The same threshold can be used for </w:t>
      </w:r>
      <w:r w:rsidRPr="00F425FB">
        <w:rPr>
          <w:lang w:val="en-GB"/>
        </w:rPr>
        <w:t xml:space="preserve">LPWUS monitoring and </w:t>
      </w:r>
      <w:r>
        <w:rPr>
          <w:bCs w:val="0"/>
          <w:iCs/>
          <w:szCs w:val="16"/>
        </w:rPr>
        <w:t xml:space="preserve">further neighbour cell </w:t>
      </w:r>
      <w:r w:rsidRPr="00996D60">
        <w:rPr>
          <w:iCs/>
          <w:szCs w:val="16"/>
        </w:rPr>
        <w:t>measurement relaxation</w:t>
      </w:r>
      <w:r>
        <w:rPr>
          <w:bCs w:val="0"/>
          <w:iCs/>
          <w:szCs w:val="16"/>
        </w:rPr>
        <w:t xml:space="preserve"> (Rel-19), however with moving UEs in urban environment </w:t>
      </w:r>
      <w:r w:rsidRPr="00F72C2A">
        <w:rPr>
          <w:lang w:val="en-GB"/>
        </w:rPr>
        <w:t xml:space="preserve">the area where LP-WUS can be used is </w:t>
      </w:r>
      <w:r w:rsidR="00C34C4E">
        <w:rPr>
          <w:lang w:val="en-GB"/>
        </w:rPr>
        <w:t xml:space="preserve">then </w:t>
      </w:r>
      <w:r w:rsidRPr="00F72C2A">
        <w:rPr>
          <w:lang w:val="en-GB"/>
        </w:rPr>
        <w:t>significantly reduced</w:t>
      </w:r>
      <w:r>
        <w:rPr>
          <w:lang w:val="en-GB"/>
        </w:rPr>
        <w:t>.</w:t>
      </w:r>
      <w:bookmarkEnd w:id="8"/>
    </w:p>
    <w:p w14:paraId="01F722B3" w14:textId="0EFE660E" w:rsidR="00A01C4C" w:rsidRDefault="00A01C4C" w:rsidP="00A01C4C">
      <w:pPr>
        <w:rPr>
          <w:lang w:val="en-GB"/>
        </w:rPr>
      </w:pPr>
      <w:r>
        <w:rPr>
          <w:lang w:val="en-GB"/>
        </w:rPr>
        <w:t xml:space="preserve">Open issue </w:t>
      </w:r>
      <w:r w:rsidR="00F72C2A">
        <w:rPr>
          <w:lang w:val="en-GB"/>
        </w:rPr>
        <w:t>5</w:t>
      </w:r>
      <w:r>
        <w:rPr>
          <w:lang w:val="en-GB"/>
        </w:rPr>
        <w:t xml:space="preserve">: </w:t>
      </w:r>
      <w:r w:rsidR="000A226E">
        <w:rPr>
          <w:lang w:val="en-GB"/>
        </w:rPr>
        <w:t>we think that we cannot assume any relationship between LP-WUS thresholds and legacy measurement thresholds (</w:t>
      </w:r>
      <w:r w:rsidR="000A226E" w:rsidRPr="00105477">
        <w:rPr>
          <w:i/>
          <w:iCs/>
          <w:lang w:val="en-GB" w:eastAsia="zh-CN"/>
        </w:rPr>
        <w:t>s-IntraSearchP/s-NonIntraSearch</w:t>
      </w:r>
      <w:r w:rsidR="000A226E">
        <w:rPr>
          <w:lang w:val="en-GB"/>
        </w:rPr>
        <w:t xml:space="preserve">). The legacy parameters apply to both normal and LP-WUS UEs and </w:t>
      </w:r>
      <w:r w:rsidR="00A756F8">
        <w:rPr>
          <w:lang w:val="en-GB"/>
        </w:rPr>
        <w:t xml:space="preserve">legacy parameters </w:t>
      </w:r>
      <w:r w:rsidR="000A226E">
        <w:rPr>
          <w:lang w:val="en-GB"/>
        </w:rPr>
        <w:t>are not expected to change when LP-WUS is deployed:</w:t>
      </w:r>
    </w:p>
    <w:p w14:paraId="6D49F1B2" w14:textId="12A3FFEC" w:rsidR="000A226E" w:rsidRPr="00F72C2A" w:rsidRDefault="000A226E" w:rsidP="000A226E">
      <w:pPr>
        <w:pStyle w:val="Proposal"/>
        <w:rPr>
          <w:lang w:val="en-GB"/>
        </w:rPr>
      </w:pPr>
      <w:bookmarkStart w:id="9" w:name="_Toc197683856"/>
      <w:r>
        <w:rPr>
          <w:lang w:val="en-GB"/>
        </w:rPr>
        <w:t>There is no coupling or dependency between LP-WUS thresholds and legacy measurements thresholds</w:t>
      </w:r>
      <w:r w:rsidRPr="000A226E">
        <w:rPr>
          <w:lang w:val="en-GB"/>
        </w:rPr>
        <w:t xml:space="preserve"> </w:t>
      </w:r>
      <w:r>
        <w:rPr>
          <w:lang w:val="en-GB"/>
        </w:rPr>
        <w:t>(</w:t>
      </w:r>
      <w:r w:rsidRPr="00105477">
        <w:rPr>
          <w:i/>
          <w:iCs/>
          <w:lang w:val="en-GB"/>
        </w:rPr>
        <w:t>s-IntraSearchP/s-NonIntraSearch</w:t>
      </w:r>
      <w:r>
        <w:rPr>
          <w:lang w:val="en-GB"/>
        </w:rPr>
        <w:t>). The legacy parameters apply to both normal and LP-WUS UEs and the legacy parameters are not expected to change when LP-WUS is deployed.</w:t>
      </w:r>
      <w:bookmarkEnd w:id="9"/>
    </w:p>
    <w:p w14:paraId="146AFBC1" w14:textId="0734FF1B" w:rsidR="005C6CAC" w:rsidRDefault="005C6CAC" w:rsidP="00C85C8E">
      <w:pPr>
        <w:pStyle w:val="Heading2"/>
      </w:pPr>
      <w:bookmarkStart w:id="10" w:name="_Toc242573360"/>
      <w:bookmarkEnd w:id="3"/>
      <w:r>
        <w:t xml:space="preserve">The need for </w:t>
      </w:r>
      <w:r w:rsidR="00C85C8E">
        <w:t xml:space="preserve">continuous </w:t>
      </w:r>
      <w:r>
        <w:t>intra-frequency neighbour cell measurements</w:t>
      </w:r>
    </w:p>
    <w:p w14:paraId="6748CB97" w14:textId="77777777" w:rsidR="005C6CAC" w:rsidRPr="00E754F7" w:rsidRDefault="005C6CAC" w:rsidP="005C6CAC">
      <w:pPr>
        <w:rPr>
          <w:lang w:val="en-GB" w:eastAsia="zh-CN"/>
        </w:rPr>
      </w:pPr>
      <w:r>
        <w:rPr>
          <w:lang w:val="en-GB" w:eastAsia="zh-CN"/>
        </w:rPr>
        <w:t>In legacy the neighbour cell measurements are configured using intra-frequency (S</w:t>
      </w:r>
      <w:r w:rsidRPr="00E754F7">
        <w:rPr>
          <w:vertAlign w:val="subscript"/>
          <w:lang w:val="en-GB" w:eastAsia="zh-CN"/>
        </w:rPr>
        <w:t>intrasearch</w:t>
      </w:r>
      <w:r>
        <w:rPr>
          <w:lang w:val="en-GB" w:eastAsia="zh-CN"/>
        </w:rPr>
        <w:t>) and inter-frequency (S</w:t>
      </w:r>
      <w:r w:rsidRPr="00E754F7">
        <w:rPr>
          <w:vertAlign w:val="subscript"/>
          <w:lang w:val="en-GB" w:eastAsia="zh-CN"/>
        </w:rPr>
        <w:t>nonIntraSearch</w:t>
      </w:r>
      <w:r>
        <w:rPr>
          <w:lang w:val="en-GB" w:eastAsia="zh-CN"/>
        </w:rPr>
        <w:t xml:space="preserve">) measurement thresholds. Typically the UE has to perform intra-frequency neighbour cell measurements in the complete cell and inter-frequency measurements are only triggered when the UE is near the cell border: </w:t>
      </w:r>
    </w:p>
    <w:p w14:paraId="6EB74DB3" w14:textId="77777777" w:rsidR="005C6CAC" w:rsidRDefault="005C6CAC" w:rsidP="005C6CAC">
      <w:pPr>
        <w:rPr>
          <w:lang w:val="en-GB" w:eastAsia="zh-CN"/>
        </w:rPr>
      </w:pPr>
      <w:r>
        <w:rPr>
          <w:noProof/>
        </w:rPr>
        <w:lastRenderedPageBreak/>
        <w:drawing>
          <wp:inline distT="0" distB="0" distL="0" distR="0" wp14:anchorId="618F4B53" wp14:editId="51499368">
            <wp:extent cx="5334943" cy="3606027"/>
            <wp:effectExtent l="0" t="0" r="0" b="0"/>
            <wp:docPr id="1107253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253739" name=""/>
                    <pic:cNvPicPr/>
                  </pic:nvPicPr>
                  <pic:blipFill rotWithShape="1">
                    <a:blip r:embed="rId8"/>
                    <a:srcRect l="15754" t="16410" r="17781" b="3722"/>
                    <a:stretch/>
                  </pic:blipFill>
                  <pic:spPr bwMode="auto">
                    <a:xfrm>
                      <a:off x="0" y="0"/>
                      <a:ext cx="5360812" cy="3623512"/>
                    </a:xfrm>
                    <a:prstGeom prst="rect">
                      <a:avLst/>
                    </a:prstGeom>
                    <a:ln>
                      <a:noFill/>
                    </a:ln>
                    <a:extLst>
                      <a:ext uri="{53640926-AAD7-44D8-BBD7-CCE9431645EC}">
                        <a14:shadowObscured xmlns:a14="http://schemas.microsoft.com/office/drawing/2010/main"/>
                      </a:ext>
                    </a:extLst>
                  </pic:spPr>
                </pic:pic>
              </a:graphicData>
            </a:graphic>
          </wp:inline>
        </w:drawing>
      </w:r>
    </w:p>
    <w:p w14:paraId="7B24F215" w14:textId="77777777" w:rsidR="005C6CAC" w:rsidRDefault="005C6CAC" w:rsidP="005C6CAC">
      <w:pPr>
        <w:rPr>
          <w:lang w:val="en-GB" w:eastAsia="zh-CN"/>
        </w:rPr>
      </w:pPr>
      <w:r>
        <w:rPr>
          <w:lang w:val="en-GB" w:eastAsia="zh-CN"/>
        </w:rPr>
        <w:t>In urban environments the intra-frequency (S</w:t>
      </w:r>
      <w:r w:rsidRPr="00E754F7">
        <w:rPr>
          <w:vertAlign w:val="subscript"/>
          <w:lang w:val="en-GB" w:eastAsia="zh-CN"/>
        </w:rPr>
        <w:t>intrasearch</w:t>
      </w:r>
      <w:r>
        <w:rPr>
          <w:lang w:val="en-GB" w:eastAsia="zh-CN"/>
        </w:rPr>
        <w:t>) cannot be configured close to the inter-frequency (S</w:t>
      </w:r>
      <w:r w:rsidRPr="00E754F7">
        <w:rPr>
          <w:vertAlign w:val="subscript"/>
          <w:lang w:val="en-GB" w:eastAsia="zh-CN"/>
        </w:rPr>
        <w:t>nonIntraSearch</w:t>
      </w:r>
      <w:r>
        <w:rPr>
          <w:lang w:val="en-GB" w:eastAsia="zh-CN"/>
        </w:rPr>
        <w:t>) measurement threshold, because due to the radio propagation conditions a stronger intra-frequency neighbour cell may be detected close to the cell center:</w:t>
      </w:r>
    </w:p>
    <w:p w14:paraId="5368106E" w14:textId="77777777" w:rsidR="005C6CAC" w:rsidRDefault="005C6CAC" w:rsidP="005C6CAC">
      <w:pPr>
        <w:rPr>
          <w:lang w:val="en-GB" w:eastAsia="zh-CN"/>
        </w:rPr>
      </w:pPr>
      <w:r>
        <w:rPr>
          <w:noProof/>
        </w:rPr>
        <w:drawing>
          <wp:inline distT="0" distB="0" distL="0" distR="0" wp14:anchorId="0EA8D7F9" wp14:editId="7E72211A">
            <wp:extent cx="5896051" cy="2461245"/>
            <wp:effectExtent l="0" t="0" r="0" b="0"/>
            <wp:docPr id="1819510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510204" name=""/>
                    <pic:cNvPicPr/>
                  </pic:nvPicPr>
                  <pic:blipFill rotWithShape="1">
                    <a:blip r:embed="rId9"/>
                    <a:srcRect l="17354" t="25819" r="16297" b="24942"/>
                    <a:stretch/>
                  </pic:blipFill>
                  <pic:spPr bwMode="auto">
                    <a:xfrm>
                      <a:off x="0" y="0"/>
                      <a:ext cx="5909029" cy="2466662"/>
                    </a:xfrm>
                    <a:prstGeom prst="rect">
                      <a:avLst/>
                    </a:prstGeom>
                    <a:ln>
                      <a:noFill/>
                    </a:ln>
                    <a:extLst>
                      <a:ext uri="{53640926-AAD7-44D8-BBD7-CCE9431645EC}">
                        <a14:shadowObscured xmlns:a14="http://schemas.microsoft.com/office/drawing/2010/main"/>
                      </a:ext>
                    </a:extLst>
                  </pic:spPr>
                </pic:pic>
              </a:graphicData>
            </a:graphic>
          </wp:inline>
        </w:drawing>
      </w:r>
    </w:p>
    <w:p w14:paraId="5A4B2F17" w14:textId="77777777" w:rsidR="005C6CAC" w:rsidRDefault="005C6CAC" w:rsidP="005C6CAC">
      <w:pPr>
        <w:rPr>
          <w:lang w:val="en-GB" w:eastAsia="zh-CN"/>
        </w:rPr>
      </w:pPr>
      <w:r>
        <w:rPr>
          <w:lang w:val="en-GB" w:eastAsia="zh-CN"/>
        </w:rPr>
        <w:t>In urban environments the radio conditions may be also change rapidly and dramatically, e.g. when you turn a corner. In case of multi-beam operation the cell coverage may also be beam dependent, i.e. beams of the same cell provide different quality, which may trigger intra-frequency cell reselection:</w:t>
      </w:r>
    </w:p>
    <w:p w14:paraId="115A6B1C" w14:textId="7CAFC32F" w:rsidR="005C6CAC" w:rsidRDefault="005C6CAC" w:rsidP="005C6CAC">
      <w:pPr>
        <w:pStyle w:val="Observation"/>
      </w:pPr>
      <w:bookmarkStart w:id="11" w:name="_Toc181955613"/>
      <w:bookmarkStart w:id="12" w:name="_Toc189813383"/>
      <w:bookmarkStart w:id="13" w:name="_Toc192579552"/>
      <w:bookmarkStart w:id="14" w:name="_Toc197683851"/>
      <w:r>
        <w:t xml:space="preserve">There can be scenarios where the UE has to measure intra-frequency neighbour cells </w:t>
      </w:r>
      <w:r w:rsidR="00E06D59">
        <w:t>continuously</w:t>
      </w:r>
      <w:r>
        <w:t xml:space="preserve"> and these intra-frequency measurements cannot be relaxed.</w:t>
      </w:r>
      <w:bookmarkEnd w:id="11"/>
      <w:bookmarkEnd w:id="12"/>
      <w:bookmarkEnd w:id="13"/>
      <w:bookmarkEnd w:id="14"/>
      <w:r>
        <w:t xml:space="preserve"> </w:t>
      </w:r>
    </w:p>
    <w:p w14:paraId="54CBDE46" w14:textId="2A403DF7" w:rsidR="005C6CAC" w:rsidRDefault="005C6CAC" w:rsidP="005C6CAC">
      <w:r>
        <w:t xml:space="preserve">For this reason it is beneficial to discuss neighbour cell measurements performed by (OFDM-based) LR, i.e. for the use case when intra-frequency neighbour cell measurements are needed and cannot be </w:t>
      </w:r>
      <w:r>
        <w:lastRenderedPageBreak/>
        <w:t>relaxed</w:t>
      </w:r>
      <w:r w:rsidR="007367D3">
        <w:t xml:space="preserve"> [4]</w:t>
      </w:r>
      <w:r>
        <w:t>. If the LR performs intra-frequency measurements and ranking then the MR is only woken up when cell reselection is initiated</w:t>
      </w:r>
      <w:r w:rsidRPr="00653331">
        <w:rPr>
          <w:lang w:val="en-GB" w:eastAsia="zh-CN"/>
        </w:rPr>
        <w:t>, i.e. the MR is only activated when an intra-frequency neighbour is Q-hyst (db) better than the serving cell based on LR measurements</w:t>
      </w:r>
      <w:r>
        <w:t>:</w:t>
      </w:r>
    </w:p>
    <w:p w14:paraId="58AA6F51" w14:textId="3820433D" w:rsidR="00E06D59" w:rsidRDefault="005C6CAC" w:rsidP="005C6CAC">
      <w:pPr>
        <w:pStyle w:val="Proposal"/>
        <w:rPr>
          <w:lang w:val="en-GB"/>
        </w:rPr>
      </w:pPr>
      <w:bookmarkStart w:id="15" w:name="_Toc178930684"/>
      <w:bookmarkStart w:id="16" w:name="_Toc181955624"/>
      <w:bookmarkStart w:id="17" w:name="_Toc189813394"/>
      <w:bookmarkStart w:id="18" w:name="_Toc192579563"/>
      <w:bookmarkStart w:id="19" w:name="_Toc197683857"/>
      <w:r>
        <w:rPr>
          <w:lang w:val="en-GB"/>
        </w:rPr>
        <w:t xml:space="preserve">RAN2 to discuss the need for </w:t>
      </w:r>
      <w:r w:rsidR="00E06D59">
        <w:rPr>
          <w:lang w:val="en-GB"/>
        </w:rPr>
        <w:t xml:space="preserve">continuous </w:t>
      </w:r>
      <w:r>
        <w:rPr>
          <w:lang w:val="en-GB"/>
        </w:rPr>
        <w:t xml:space="preserve">intra-frequency neighbour cell measurements </w:t>
      </w:r>
      <w:r w:rsidR="00E06D59">
        <w:rPr>
          <w:lang w:val="en-GB"/>
        </w:rPr>
        <w:t>especially for a moving UE in an urban environment and the implications that has on the usability of LP-WUS.</w:t>
      </w:r>
      <w:bookmarkEnd w:id="19"/>
    </w:p>
    <w:p w14:paraId="13000FE7" w14:textId="3E4E9730" w:rsidR="00E06D59" w:rsidRDefault="00021C68" w:rsidP="00E06D59">
      <w:pPr>
        <w:rPr>
          <w:lang w:val="en-GB"/>
        </w:rPr>
      </w:pPr>
      <w:r>
        <w:rPr>
          <w:lang w:val="en-GB"/>
        </w:rPr>
        <w:t xml:space="preserve">When Rel-16 neighbour cell measurement relaxation is configured, then a stationary UE is not required to measure intra-frequency. We think that Rel-16 neighbour cell measurement relaxation is a possible way to increase the usability in an urban environment. </w:t>
      </w:r>
    </w:p>
    <w:bookmarkEnd w:id="15"/>
    <w:bookmarkEnd w:id="16"/>
    <w:bookmarkEnd w:id="17"/>
    <w:bookmarkEnd w:id="18"/>
    <w:p w14:paraId="21EBF7D2" w14:textId="58215BA8" w:rsidR="005C6CAC" w:rsidRDefault="005C6CAC" w:rsidP="00021C68">
      <w:pPr>
        <w:pStyle w:val="Heading2"/>
      </w:pPr>
      <w:r w:rsidRPr="00BA5591">
        <w:t xml:space="preserve">Rel-16 </w:t>
      </w:r>
      <w:r>
        <w:t xml:space="preserve">neighbour cell measurements </w:t>
      </w:r>
      <w:r w:rsidR="00021C68">
        <w:t>relaxation</w:t>
      </w:r>
      <w:r w:rsidR="000D59C7">
        <w:t xml:space="preserve"> (RRC-10)</w:t>
      </w:r>
    </w:p>
    <w:p w14:paraId="3618DC5A" w14:textId="52BAD019" w:rsidR="00021C68" w:rsidRDefault="00021C68" w:rsidP="005C6CAC">
      <w:pPr>
        <w:rPr>
          <w:lang w:val="en-GB" w:eastAsia="zh-CN"/>
        </w:rPr>
      </w:pPr>
      <w:r>
        <w:rPr>
          <w:lang w:val="en-GB" w:eastAsia="zh-CN"/>
        </w:rPr>
        <w:t>With Rel-16 neighbour cell measurement relaxation it is possible to allow a stationary UE to relax intra-frequency measurement when it is close the cell border. A moving UE is only allowed to relax intra-frequency measurements when it is above</w:t>
      </w:r>
      <w:r w:rsidRPr="00021C68">
        <w:rPr>
          <w:lang w:val="en-GB" w:eastAsia="zh-CN"/>
        </w:rPr>
        <w:t xml:space="preserve"> </w:t>
      </w:r>
      <w:r>
        <w:rPr>
          <w:lang w:val="en-GB" w:eastAsia="zh-CN"/>
        </w:rPr>
        <w:t>S</w:t>
      </w:r>
      <w:r>
        <w:rPr>
          <w:vertAlign w:val="subscript"/>
          <w:lang w:val="en-GB" w:eastAsia="zh-CN"/>
        </w:rPr>
        <w:t>I</w:t>
      </w:r>
      <w:r w:rsidRPr="00B616A8">
        <w:rPr>
          <w:vertAlign w:val="subscript"/>
          <w:lang w:val="en-GB" w:eastAsia="zh-CN"/>
        </w:rPr>
        <w:t>ntraSearch</w:t>
      </w:r>
      <w:r>
        <w:rPr>
          <w:lang w:val="en-GB" w:eastAsia="zh-CN"/>
        </w:rPr>
        <w:t xml:space="preserve"> close to the cell centre:</w:t>
      </w:r>
    </w:p>
    <w:p w14:paraId="09DC4CC4" w14:textId="77777777" w:rsidR="005C6CAC" w:rsidRDefault="005C6CAC" w:rsidP="005C6CAC">
      <w:pPr>
        <w:rPr>
          <w:lang w:val="en-GB" w:eastAsia="zh-CN"/>
        </w:rPr>
      </w:pPr>
      <w:r>
        <w:rPr>
          <w:noProof/>
        </w:rPr>
        <w:drawing>
          <wp:inline distT="0" distB="0" distL="0" distR="0" wp14:anchorId="7B6CE4BE" wp14:editId="1B90486F">
            <wp:extent cx="6049670" cy="3722145"/>
            <wp:effectExtent l="0" t="0" r="8255" b="0"/>
            <wp:docPr id="1807205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205840" name=""/>
                    <pic:cNvPicPr/>
                  </pic:nvPicPr>
                  <pic:blipFill rotWithShape="1">
                    <a:blip r:embed="rId10"/>
                    <a:srcRect l="13326" t="18816" r="13054" b="657"/>
                    <a:stretch/>
                  </pic:blipFill>
                  <pic:spPr bwMode="auto">
                    <a:xfrm>
                      <a:off x="0" y="0"/>
                      <a:ext cx="6069023" cy="3734052"/>
                    </a:xfrm>
                    <a:prstGeom prst="rect">
                      <a:avLst/>
                    </a:prstGeom>
                    <a:ln>
                      <a:noFill/>
                    </a:ln>
                    <a:extLst>
                      <a:ext uri="{53640926-AAD7-44D8-BBD7-CCE9431645EC}">
                        <a14:shadowObscured xmlns:a14="http://schemas.microsoft.com/office/drawing/2010/main"/>
                      </a:ext>
                    </a:extLst>
                  </pic:spPr>
                </pic:pic>
              </a:graphicData>
            </a:graphic>
          </wp:inline>
        </w:drawing>
      </w:r>
    </w:p>
    <w:p w14:paraId="0EBD1402" w14:textId="29031951" w:rsidR="005C6CAC" w:rsidRDefault="00021C68" w:rsidP="005C6CAC">
      <w:pPr>
        <w:rPr>
          <w:lang w:val="en-GB" w:eastAsia="zh-CN"/>
        </w:rPr>
      </w:pPr>
      <w:r>
        <w:rPr>
          <w:lang w:val="en-GB" w:eastAsia="zh-CN"/>
        </w:rPr>
        <w:t xml:space="preserve">When the LP-WUS entry condition is fulfilled the UE can determine based on LR serving cell measurements whether </w:t>
      </w:r>
      <w:r w:rsidR="005C6CAC">
        <w:rPr>
          <w:lang w:val="en-GB" w:eastAsia="zh-CN"/>
        </w:rPr>
        <w:t>low mobility and/or not-at-cell-edge criterion are fulfilled:</w:t>
      </w:r>
    </w:p>
    <w:p w14:paraId="06B53C57" w14:textId="40724055" w:rsidR="005C6CAC" w:rsidRDefault="005C6CAC" w:rsidP="005C6CAC">
      <w:pPr>
        <w:pStyle w:val="Proposal"/>
        <w:rPr>
          <w:lang w:val="en-GB"/>
        </w:rPr>
      </w:pPr>
      <w:bookmarkStart w:id="20" w:name="_Toc189813396"/>
      <w:bookmarkStart w:id="21" w:name="_Toc192579565"/>
      <w:bookmarkStart w:id="22" w:name="_Toc197683858"/>
      <w:r>
        <w:rPr>
          <w:lang w:val="en-GB"/>
        </w:rPr>
        <w:t xml:space="preserve">When </w:t>
      </w:r>
      <w:r w:rsidR="00021C68">
        <w:rPr>
          <w:lang w:val="en-GB"/>
        </w:rPr>
        <w:t xml:space="preserve">Rel-16 neighbour cell relaxation is configured and the LP-WUS entry condition is fulfilled </w:t>
      </w:r>
      <w:r>
        <w:rPr>
          <w:lang w:val="en-GB"/>
        </w:rPr>
        <w:t>the UE determine</w:t>
      </w:r>
      <w:r w:rsidR="00021C68">
        <w:rPr>
          <w:lang w:val="en-GB"/>
        </w:rPr>
        <w:t>s based on LR serving cell measurements</w:t>
      </w:r>
      <w:r>
        <w:rPr>
          <w:lang w:val="en-GB"/>
        </w:rPr>
        <w:t xml:space="preserve"> when </w:t>
      </w:r>
      <w:r w:rsidR="007E332D">
        <w:rPr>
          <w:lang w:val="en-GB"/>
        </w:rPr>
        <w:t>“</w:t>
      </w:r>
      <w:r>
        <w:rPr>
          <w:lang w:val="en-GB"/>
        </w:rPr>
        <w:t>low mobility</w:t>
      </w:r>
      <w:r w:rsidR="007E332D">
        <w:rPr>
          <w:lang w:val="en-GB"/>
        </w:rPr>
        <w:t>”</w:t>
      </w:r>
      <w:r>
        <w:rPr>
          <w:lang w:val="en-GB"/>
        </w:rPr>
        <w:t xml:space="preserve"> and/or </w:t>
      </w:r>
      <w:r w:rsidR="007E332D">
        <w:rPr>
          <w:lang w:val="en-GB"/>
        </w:rPr>
        <w:t>“</w:t>
      </w:r>
      <w:r>
        <w:rPr>
          <w:lang w:val="en-GB"/>
        </w:rPr>
        <w:t>not-at-cell-edge</w:t>
      </w:r>
      <w:r w:rsidR="007E332D">
        <w:rPr>
          <w:lang w:val="en-GB"/>
        </w:rPr>
        <w:t>”</w:t>
      </w:r>
      <w:r>
        <w:rPr>
          <w:lang w:val="en-GB"/>
        </w:rPr>
        <w:t xml:space="preserve"> criterion are no longer fulfilled and the MR has to start neighbour cell measurements again.</w:t>
      </w:r>
      <w:bookmarkEnd w:id="22"/>
      <w:r>
        <w:rPr>
          <w:lang w:val="en-GB"/>
        </w:rPr>
        <w:t xml:space="preserve"> </w:t>
      </w:r>
      <w:bookmarkEnd w:id="20"/>
      <w:bookmarkEnd w:id="21"/>
    </w:p>
    <w:p w14:paraId="71D87E24" w14:textId="787C3BA0" w:rsidR="005C6CAC" w:rsidRDefault="00021C68" w:rsidP="005C6CAC">
      <w:pPr>
        <w:rPr>
          <w:lang w:val="en-GB" w:eastAsia="zh-CN"/>
        </w:rPr>
      </w:pPr>
      <w:r>
        <w:rPr>
          <w:lang w:val="en-GB" w:eastAsia="zh-CN"/>
        </w:rPr>
        <w:t xml:space="preserve">When the UE is inside LP-WUS coverage, i.e. LP-WUS entry condition is fulfilled, it is possible that the MR has to start neighbour cell measurements, e.g. </w:t>
      </w:r>
      <w:r w:rsidR="000D59C7">
        <w:rPr>
          <w:lang w:val="en-GB" w:eastAsia="zh-CN"/>
        </w:rPr>
        <w:t xml:space="preserve">the UE become mobile and the low mobility criterion is no longer fulfilled. Then the LR can continue serving cell measurements while the MR is performing neighbour cell measurements. For example if the UE is required to perform neighbour cell measurements </w:t>
      </w:r>
      <w:r w:rsidR="000D59C7">
        <w:rPr>
          <w:lang w:val="en-GB" w:eastAsia="zh-CN"/>
        </w:rPr>
        <w:lastRenderedPageBreak/>
        <w:t>every 3</w:t>
      </w:r>
      <w:r w:rsidR="000D59C7" w:rsidRPr="000D59C7">
        <w:rPr>
          <w:vertAlign w:val="superscript"/>
          <w:lang w:val="en-GB" w:eastAsia="zh-CN"/>
        </w:rPr>
        <w:t>rd</w:t>
      </w:r>
      <w:r w:rsidR="000D59C7">
        <w:rPr>
          <w:lang w:val="en-GB" w:eastAsia="zh-CN"/>
        </w:rPr>
        <w:t xml:space="preserve"> DRX cycle then it is advantageous to avoid MR serving cell measurements inbetween the MR neighbour cell measurements: </w:t>
      </w:r>
    </w:p>
    <w:p w14:paraId="196C0F2F" w14:textId="2C43F2AA" w:rsidR="005C6CAC" w:rsidRPr="00653331" w:rsidRDefault="000D59C7" w:rsidP="005C6CAC">
      <w:pPr>
        <w:pStyle w:val="Proposal"/>
        <w:rPr>
          <w:lang w:val="en-GB"/>
        </w:rPr>
      </w:pPr>
      <w:bookmarkStart w:id="23" w:name="_Toc189813397"/>
      <w:bookmarkStart w:id="24" w:name="_Toc192579566"/>
      <w:bookmarkStart w:id="25" w:name="_Toc178930679"/>
      <w:bookmarkStart w:id="26" w:name="_Toc181955627"/>
      <w:bookmarkStart w:id="27" w:name="_Toc197683859"/>
      <w:r>
        <w:rPr>
          <w:lang w:val="en-GB"/>
        </w:rPr>
        <w:t>The low mobility and/or not-at-cell-edge criterion are not part of the LR serving cell exit condition, i.e. the UE is allowed to continue offloading the serving cell measurements from MR to LR while the MR is performing neighbour cell measurements</w:t>
      </w:r>
      <w:r w:rsidR="005C6CAC" w:rsidRPr="00653331">
        <w:rPr>
          <w:lang w:val="en-GB"/>
        </w:rPr>
        <w:t>.</w:t>
      </w:r>
      <w:bookmarkEnd w:id="23"/>
      <w:bookmarkEnd w:id="24"/>
      <w:bookmarkEnd w:id="27"/>
      <w:r w:rsidR="005C6CAC" w:rsidRPr="00653331">
        <w:rPr>
          <w:lang w:val="en-GB"/>
        </w:rPr>
        <w:t xml:space="preserve"> </w:t>
      </w:r>
    </w:p>
    <w:bookmarkEnd w:id="25"/>
    <w:bookmarkEnd w:id="26"/>
    <w:p w14:paraId="5E650D32" w14:textId="77777777" w:rsidR="009D725A" w:rsidRDefault="009D725A" w:rsidP="009D725A">
      <w:pPr>
        <w:pStyle w:val="Heading1"/>
        <w:jc w:val="both"/>
      </w:pPr>
      <w:r>
        <w:t>Summary</w:t>
      </w:r>
      <w:bookmarkEnd w:id="10"/>
    </w:p>
    <w:p w14:paraId="65B81F03" w14:textId="6CFC0055" w:rsidR="001659F2" w:rsidRDefault="001659F2" w:rsidP="001659F2">
      <w:bookmarkStart w:id="28" w:name="_Toc242573361"/>
      <w:r>
        <w:t xml:space="preserve">RAN2 is kindly asked to </w:t>
      </w:r>
      <w:r w:rsidR="00910638">
        <w:t xml:space="preserve">discuss </w:t>
      </w:r>
      <w:r w:rsidR="000D59C7">
        <w:t>LP-WUS and RRM measurements</w:t>
      </w:r>
      <w:r>
        <w:t xml:space="preserve">: </w:t>
      </w:r>
    </w:p>
    <w:p w14:paraId="37AFF486" w14:textId="35BC8AF6" w:rsidR="00210499" w:rsidRDefault="005C2ED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r>
        <w:fldChar w:fldCharType="begin"/>
      </w:r>
      <w:r>
        <w:rPr>
          <w:bCs/>
        </w:rPr>
        <w:instrText xml:space="preserve"> TOC \f O \n \h \z \t "Observation" \c </w:instrText>
      </w:r>
      <w:r>
        <w:fldChar w:fldCharType="separate"/>
      </w:r>
      <w:hyperlink w:anchor="_Toc197683851" w:history="1">
        <w:r w:rsidR="00210499" w:rsidRPr="000F6C76">
          <w:rPr>
            <w:rStyle w:val="Hyperlink"/>
            <w:noProof/>
          </w:rPr>
          <w:t>Observation 1</w:t>
        </w:r>
        <w:r w:rsidR="00210499">
          <w:rPr>
            <w:rFonts w:asciiTheme="minorHAnsi" w:eastAsiaTheme="minorEastAsia" w:hAnsiTheme="minorHAnsi"/>
            <w:b w:val="0"/>
            <w:noProof/>
            <w:kern w:val="2"/>
            <w:sz w:val="24"/>
            <w:szCs w:val="24"/>
            <w:lang w:val="en-SE" w:eastAsia="en-SE"/>
            <w14:ligatures w14:val="standardContextual"/>
          </w:rPr>
          <w:tab/>
        </w:r>
        <w:r w:rsidR="00210499" w:rsidRPr="000F6C76">
          <w:rPr>
            <w:rStyle w:val="Hyperlink"/>
            <w:noProof/>
          </w:rPr>
          <w:t>There can be scenarios where the UE has to measure intra-frequency neighbour cells continuously and these intra-frequency measurements cannot be relaxed.</w:t>
        </w:r>
      </w:hyperlink>
    </w:p>
    <w:p w14:paraId="63AD16DE" w14:textId="7444893A" w:rsidR="005C2ED2" w:rsidRDefault="005C2ED2" w:rsidP="005C2ED2">
      <w:pPr>
        <w:pStyle w:val="BodyText"/>
        <w:rPr>
          <w:b/>
          <w:bCs/>
        </w:rPr>
      </w:pPr>
      <w:r>
        <w:rPr>
          <w:b/>
          <w:bCs/>
        </w:rPr>
        <w:fldChar w:fldCharType="end"/>
      </w:r>
    </w:p>
    <w:bookmarkStart w:id="29" w:name="_Hlk159150618"/>
    <w:p w14:paraId="59F36428" w14:textId="77777777" w:rsidR="00210499" w:rsidRDefault="005C2ED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97683852" w:history="1">
        <w:r w:rsidR="00210499" w:rsidRPr="00073D1E">
          <w:rPr>
            <w:rStyle w:val="Hyperlink"/>
            <w:noProof/>
            <w:lang w:val="en-GB"/>
          </w:rPr>
          <w:t>Proposal 1</w:t>
        </w:r>
        <w:r w:rsidR="00210499">
          <w:rPr>
            <w:rFonts w:asciiTheme="minorHAnsi" w:eastAsiaTheme="minorEastAsia" w:hAnsiTheme="minorHAnsi"/>
            <w:b w:val="0"/>
            <w:noProof/>
            <w:kern w:val="2"/>
            <w:sz w:val="24"/>
            <w:szCs w:val="24"/>
            <w:lang w:val="en-SE" w:eastAsia="en-SE"/>
            <w14:ligatures w14:val="standardContextual"/>
          </w:rPr>
          <w:tab/>
        </w:r>
        <w:r w:rsidR="00210499" w:rsidRPr="00073D1E">
          <w:rPr>
            <w:rStyle w:val="Hyperlink"/>
            <w:noProof/>
            <w:lang w:val="en-GB"/>
          </w:rPr>
          <w:t>RAN2 to wait for RAN1/RAN4 progress whether different thresholds are needed for different WUR types (e.g. OFDM or OOK) or WURs with different receiver sensitivity (e.g. 18 or 13.5 dB).</w:t>
        </w:r>
      </w:hyperlink>
    </w:p>
    <w:p w14:paraId="6956423F" w14:textId="77777777" w:rsidR="00210499" w:rsidRDefault="00210499">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53" w:history="1">
        <w:r w:rsidRPr="00073D1E">
          <w:rPr>
            <w:rStyle w:val="Hyperlink"/>
            <w:noProof/>
            <w:lang w:val="en-GB"/>
          </w:rPr>
          <w:t>Proposal 2</w:t>
        </w:r>
        <w:r>
          <w:rPr>
            <w:rFonts w:asciiTheme="minorHAnsi" w:eastAsiaTheme="minorEastAsia" w:hAnsiTheme="minorHAnsi"/>
            <w:b w:val="0"/>
            <w:noProof/>
            <w:kern w:val="2"/>
            <w:sz w:val="24"/>
            <w:szCs w:val="24"/>
            <w:lang w:val="en-SE" w:eastAsia="en-SE"/>
            <w14:ligatures w14:val="standardContextual"/>
          </w:rPr>
          <w:tab/>
        </w:r>
        <w:r w:rsidRPr="00073D1E">
          <w:rPr>
            <w:rStyle w:val="Hyperlink"/>
            <w:noProof/>
            <w:lang w:val="en-GB"/>
          </w:rPr>
          <w:t>The same entry/exit threshold is used for LP-WUS monitoring and serving cell offloading.</w:t>
        </w:r>
      </w:hyperlink>
    </w:p>
    <w:p w14:paraId="2D38646C" w14:textId="77777777" w:rsidR="00210499" w:rsidRDefault="00210499">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54" w:history="1">
        <w:r w:rsidRPr="00073D1E">
          <w:rPr>
            <w:rStyle w:val="Hyperlink"/>
            <w:noProof/>
            <w:lang w:val="en-GB"/>
          </w:rPr>
          <w:t>Proposal 3</w:t>
        </w:r>
        <w:r>
          <w:rPr>
            <w:rFonts w:asciiTheme="minorHAnsi" w:eastAsiaTheme="minorEastAsia" w:hAnsiTheme="minorHAnsi"/>
            <w:b w:val="0"/>
            <w:noProof/>
            <w:kern w:val="2"/>
            <w:sz w:val="24"/>
            <w:szCs w:val="24"/>
            <w:lang w:val="en-SE" w:eastAsia="en-SE"/>
            <w14:ligatures w14:val="standardContextual"/>
          </w:rPr>
          <w:tab/>
        </w:r>
        <w:r w:rsidRPr="00073D1E">
          <w:rPr>
            <w:rStyle w:val="Hyperlink"/>
            <w:noProof/>
            <w:lang w:val="en-GB"/>
          </w:rPr>
          <w:t>The same entry/exit threshold can be used for LP-WUS monitoring and serving cell relaxation when serving cell offloading is not configured.</w:t>
        </w:r>
      </w:hyperlink>
    </w:p>
    <w:p w14:paraId="67714E89" w14:textId="77777777" w:rsidR="00210499" w:rsidRDefault="00210499">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55" w:history="1">
        <w:r w:rsidRPr="00073D1E">
          <w:rPr>
            <w:rStyle w:val="Hyperlink"/>
            <w:noProof/>
            <w:lang w:val="en-GB"/>
          </w:rPr>
          <w:t>Proposal 4</w:t>
        </w:r>
        <w:r>
          <w:rPr>
            <w:rFonts w:asciiTheme="minorHAnsi" w:eastAsiaTheme="minorEastAsia" w:hAnsiTheme="minorHAnsi"/>
            <w:b w:val="0"/>
            <w:noProof/>
            <w:kern w:val="2"/>
            <w:sz w:val="24"/>
            <w:szCs w:val="24"/>
            <w:lang w:val="en-SE" w:eastAsia="en-SE"/>
            <w14:ligatures w14:val="standardContextual"/>
          </w:rPr>
          <w:tab/>
        </w:r>
        <w:r w:rsidRPr="00073D1E">
          <w:rPr>
            <w:rStyle w:val="Hyperlink"/>
            <w:noProof/>
            <w:lang w:val="en-GB"/>
          </w:rPr>
          <w:t xml:space="preserve">The same threshold can be used for LPWUS monitoring and </w:t>
        </w:r>
        <w:r w:rsidRPr="00073D1E">
          <w:rPr>
            <w:rStyle w:val="Hyperlink"/>
            <w:iCs/>
            <w:noProof/>
          </w:rPr>
          <w:t xml:space="preserve">further neighbour cell measurement relaxation (Rel-19), however with moving UEs in urban environment </w:t>
        </w:r>
        <w:r w:rsidRPr="00073D1E">
          <w:rPr>
            <w:rStyle w:val="Hyperlink"/>
            <w:noProof/>
            <w:lang w:val="en-GB"/>
          </w:rPr>
          <w:t>the area where LP-WUS can be used is then significantly reduced.</w:t>
        </w:r>
      </w:hyperlink>
    </w:p>
    <w:p w14:paraId="00DECCAB" w14:textId="77777777" w:rsidR="00210499" w:rsidRDefault="00210499">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56" w:history="1">
        <w:r w:rsidRPr="00073D1E">
          <w:rPr>
            <w:rStyle w:val="Hyperlink"/>
            <w:noProof/>
            <w:lang w:val="en-GB"/>
          </w:rPr>
          <w:t>Proposal 5</w:t>
        </w:r>
        <w:r>
          <w:rPr>
            <w:rFonts w:asciiTheme="minorHAnsi" w:eastAsiaTheme="minorEastAsia" w:hAnsiTheme="minorHAnsi"/>
            <w:b w:val="0"/>
            <w:noProof/>
            <w:kern w:val="2"/>
            <w:sz w:val="24"/>
            <w:szCs w:val="24"/>
            <w:lang w:val="en-SE" w:eastAsia="en-SE"/>
            <w14:ligatures w14:val="standardContextual"/>
          </w:rPr>
          <w:tab/>
        </w:r>
        <w:r w:rsidRPr="00073D1E">
          <w:rPr>
            <w:rStyle w:val="Hyperlink"/>
            <w:noProof/>
            <w:lang w:val="en-GB"/>
          </w:rPr>
          <w:t>There is no coupling or dependency between LP-WUS thresholds and legacy measurements thresholds (</w:t>
        </w:r>
        <w:r w:rsidRPr="00073D1E">
          <w:rPr>
            <w:rStyle w:val="Hyperlink"/>
            <w:i/>
            <w:iCs/>
            <w:noProof/>
            <w:lang w:val="en-GB"/>
          </w:rPr>
          <w:t>s-IntraSearchP/s-NonIntraSearch</w:t>
        </w:r>
        <w:r w:rsidRPr="00073D1E">
          <w:rPr>
            <w:rStyle w:val="Hyperlink"/>
            <w:noProof/>
            <w:lang w:val="en-GB"/>
          </w:rPr>
          <w:t>). The legacy parameters apply to both normal and LP-WUS UEs and the legacy parameters are not expected to change when LP-WUS is deployed.</w:t>
        </w:r>
      </w:hyperlink>
    </w:p>
    <w:p w14:paraId="7E5E6900" w14:textId="77777777" w:rsidR="00210499" w:rsidRDefault="00210499">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57" w:history="1">
        <w:r w:rsidRPr="00073D1E">
          <w:rPr>
            <w:rStyle w:val="Hyperlink"/>
            <w:noProof/>
            <w:lang w:val="en-GB"/>
          </w:rPr>
          <w:t>Proposal 6</w:t>
        </w:r>
        <w:r>
          <w:rPr>
            <w:rFonts w:asciiTheme="minorHAnsi" w:eastAsiaTheme="minorEastAsia" w:hAnsiTheme="minorHAnsi"/>
            <w:b w:val="0"/>
            <w:noProof/>
            <w:kern w:val="2"/>
            <w:sz w:val="24"/>
            <w:szCs w:val="24"/>
            <w:lang w:val="en-SE" w:eastAsia="en-SE"/>
            <w14:ligatures w14:val="standardContextual"/>
          </w:rPr>
          <w:tab/>
        </w:r>
        <w:r w:rsidRPr="00073D1E">
          <w:rPr>
            <w:rStyle w:val="Hyperlink"/>
            <w:noProof/>
            <w:lang w:val="en-GB"/>
          </w:rPr>
          <w:t>RAN2 to discuss the need for continuous intra-frequency neighbour cell measurements especially for a moving UE in an urban environment and the implications that has on the usability of LP-WUS.</w:t>
        </w:r>
      </w:hyperlink>
    </w:p>
    <w:p w14:paraId="06EF1DA4" w14:textId="77777777" w:rsidR="00210499" w:rsidRDefault="00210499">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58" w:history="1">
        <w:r w:rsidRPr="00073D1E">
          <w:rPr>
            <w:rStyle w:val="Hyperlink"/>
            <w:noProof/>
            <w:lang w:val="en-GB"/>
          </w:rPr>
          <w:t>Proposal 7</w:t>
        </w:r>
        <w:r>
          <w:rPr>
            <w:rFonts w:asciiTheme="minorHAnsi" w:eastAsiaTheme="minorEastAsia" w:hAnsiTheme="minorHAnsi"/>
            <w:b w:val="0"/>
            <w:noProof/>
            <w:kern w:val="2"/>
            <w:sz w:val="24"/>
            <w:szCs w:val="24"/>
            <w:lang w:val="en-SE" w:eastAsia="en-SE"/>
            <w14:ligatures w14:val="standardContextual"/>
          </w:rPr>
          <w:tab/>
        </w:r>
        <w:r w:rsidRPr="00073D1E">
          <w:rPr>
            <w:rStyle w:val="Hyperlink"/>
            <w:noProof/>
            <w:lang w:val="en-GB"/>
          </w:rPr>
          <w:t>When Rel-16 neighbour cell relaxation is configured and the LP-WUS entry condition is fulfilled the UE determines based on LR serving cell measurements when “low mobility” and/or “not-at-cell-edge” criterion are no longer fulfilled and the MR has to start neighbour cell measurements again.</w:t>
        </w:r>
      </w:hyperlink>
    </w:p>
    <w:p w14:paraId="1E50C62A" w14:textId="77777777" w:rsidR="00210499" w:rsidRDefault="00210499">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97683859" w:history="1">
        <w:r w:rsidRPr="00073D1E">
          <w:rPr>
            <w:rStyle w:val="Hyperlink"/>
            <w:noProof/>
            <w:lang w:val="en-GB"/>
          </w:rPr>
          <w:t>Proposal 8</w:t>
        </w:r>
        <w:r>
          <w:rPr>
            <w:rFonts w:asciiTheme="minorHAnsi" w:eastAsiaTheme="minorEastAsia" w:hAnsiTheme="minorHAnsi"/>
            <w:b w:val="0"/>
            <w:noProof/>
            <w:kern w:val="2"/>
            <w:sz w:val="24"/>
            <w:szCs w:val="24"/>
            <w:lang w:val="en-SE" w:eastAsia="en-SE"/>
            <w14:ligatures w14:val="standardContextual"/>
          </w:rPr>
          <w:tab/>
        </w:r>
        <w:r w:rsidRPr="00073D1E">
          <w:rPr>
            <w:rStyle w:val="Hyperlink"/>
            <w:noProof/>
            <w:lang w:val="en-GB"/>
          </w:rPr>
          <w:t>The low mobility and/or not-at-cell-edge criterion are not part of the LR serving cell exit condition, i.e. the UE is allowed to continue offloading the serving cell measurements from MR to LR while the MR is performing neighbour cell measurements.</w:t>
        </w:r>
      </w:hyperlink>
    </w:p>
    <w:p w14:paraId="1A6A95CD" w14:textId="1BCF0BD5" w:rsidR="005C2ED2" w:rsidRDefault="005C2ED2" w:rsidP="005C2ED2">
      <w:r w:rsidRPr="008E3596">
        <w:rPr>
          <w:b/>
          <w:bCs/>
        </w:rPr>
        <w:fldChar w:fldCharType="end"/>
      </w:r>
      <w:bookmarkEnd w:id="29"/>
    </w:p>
    <w:p w14:paraId="5A15FD36" w14:textId="77777777" w:rsidR="009D725A" w:rsidRDefault="009D725A" w:rsidP="009D725A">
      <w:pPr>
        <w:pStyle w:val="Heading1"/>
        <w:rPr>
          <w:noProof/>
        </w:rPr>
      </w:pPr>
      <w:r>
        <w:rPr>
          <w:noProof/>
        </w:rPr>
        <w:t>References</w:t>
      </w:r>
      <w:bookmarkEnd w:id="28"/>
    </w:p>
    <w:p w14:paraId="1E7964D4" w14:textId="0EDFD124" w:rsidR="00C178CE" w:rsidRPr="00C178CE" w:rsidRDefault="00210499" w:rsidP="00C178CE">
      <w:pPr>
        <w:numPr>
          <w:ilvl w:val="0"/>
          <w:numId w:val="1"/>
        </w:numPr>
        <w:overflowPunct w:val="0"/>
        <w:autoSpaceDE w:val="0"/>
        <w:autoSpaceDN w:val="0"/>
        <w:adjustRightInd w:val="0"/>
        <w:spacing w:before="60" w:after="60"/>
        <w:ind w:right="-421"/>
        <w:textAlignment w:val="baseline"/>
        <w:rPr>
          <w:rFonts w:cs="Arial"/>
          <w:sz w:val="14"/>
          <w:szCs w:val="14"/>
          <w:lang w:val="de-DE"/>
        </w:rPr>
      </w:pPr>
      <w:hyperlink r:id="rId11" w:history="1">
        <w:r w:rsidR="00C178CE" w:rsidRPr="00C178CE">
          <w:rPr>
            <w:rStyle w:val="Hyperlink"/>
            <w:rFonts w:cs="Arial"/>
            <w:sz w:val="14"/>
            <w:szCs w:val="14"/>
            <w:lang w:val="de-DE"/>
          </w:rPr>
          <w:t>R2-2502154</w:t>
        </w:r>
      </w:hyperlink>
      <w:r w:rsidR="00C178CE" w:rsidRPr="00C178CE">
        <w:rPr>
          <w:rFonts w:cs="Arial"/>
          <w:sz w:val="14"/>
          <w:szCs w:val="14"/>
          <w:lang w:val="de-DE"/>
        </w:rPr>
        <w:t xml:space="preserve">, </w:t>
      </w:r>
      <w:r w:rsidR="00C178CE" w:rsidRPr="00C178CE">
        <w:rPr>
          <w:rFonts w:cs="Arial"/>
          <w:i/>
          <w:iCs/>
          <w:sz w:val="14"/>
          <w:szCs w:val="14"/>
          <w:lang w:val="de-DE"/>
        </w:rPr>
        <w:t>Whether/How to reduce the number of thresholds for LP-WUS monitoring and RRM relaxation/offloading</w:t>
      </w:r>
      <w:r w:rsidR="00C178CE" w:rsidRPr="00C178CE">
        <w:rPr>
          <w:rFonts w:cs="Arial"/>
          <w:sz w:val="14"/>
          <w:szCs w:val="14"/>
          <w:lang w:val="de-DE"/>
        </w:rPr>
        <w:t>, vivo, DISC, RAN2#129-bis</w:t>
      </w:r>
    </w:p>
    <w:p w14:paraId="252E6F63" w14:textId="7BE23805" w:rsidR="00C178CE" w:rsidRDefault="00210499" w:rsidP="00C178CE">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C178CE" w:rsidRPr="00C178CE">
          <w:rPr>
            <w:rStyle w:val="Hyperlink"/>
            <w:rFonts w:cs="Arial"/>
            <w:sz w:val="16"/>
            <w:szCs w:val="16"/>
            <w:lang w:val="de-DE"/>
          </w:rPr>
          <w:t>R2-2503032</w:t>
        </w:r>
      </w:hyperlink>
      <w:r w:rsidR="00C178CE">
        <w:rPr>
          <w:rFonts w:cs="Arial"/>
          <w:sz w:val="16"/>
          <w:szCs w:val="16"/>
          <w:lang w:val="de-DE"/>
        </w:rPr>
        <w:t xml:space="preserve">, </w:t>
      </w:r>
      <w:r w:rsidR="00C178CE" w:rsidRPr="00C178CE">
        <w:rPr>
          <w:rFonts w:cs="Arial"/>
          <w:i/>
          <w:iCs/>
          <w:sz w:val="16"/>
          <w:szCs w:val="16"/>
          <w:lang w:val="de-DE"/>
        </w:rPr>
        <w:t>Discussion report on [AT129bis][202][LPWUS],</w:t>
      </w:r>
      <w:r w:rsidR="00C178CE">
        <w:rPr>
          <w:rFonts w:cs="Arial"/>
          <w:sz w:val="16"/>
          <w:szCs w:val="16"/>
          <w:lang w:val="de-DE"/>
        </w:rPr>
        <w:t xml:space="preserve"> </w:t>
      </w:r>
      <w:r w:rsidR="00C178CE" w:rsidRPr="00C178CE">
        <w:rPr>
          <w:rFonts w:cs="Arial"/>
          <w:sz w:val="16"/>
          <w:szCs w:val="16"/>
          <w:lang w:val="de-DE"/>
        </w:rPr>
        <w:t>vivo</w:t>
      </w:r>
      <w:r w:rsidR="00C178CE">
        <w:rPr>
          <w:rFonts w:cs="Arial"/>
          <w:sz w:val="16"/>
          <w:szCs w:val="16"/>
          <w:lang w:val="de-DE"/>
        </w:rPr>
        <w:t>, report, RAN2#129-bis</w:t>
      </w:r>
    </w:p>
    <w:p w14:paraId="240B532A" w14:textId="0899741E" w:rsidR="001030C1" w:rsidRDefault="00210499" w:rsidP="00C178CE">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1030C1" w:rsidRPr="001030C1">
          <w:rPr>
            <w:rStyle w:val="Hyperlink"/>
            <w:rFonts w:cs="Arial"/>
            <w:sz w:val="16"/>
            <w:szCs w:val="16"/>
            <w:lang w:val="de-DE"/>
          </w:rPr>
          <w:t>R2-2501743</w:t>
        </w:r>
      </w:hyperlink>
      <w:r w:rsidR="001030C1">
        <w:rPr>
          <w:rFonts w:cs="Arial"/>
          <w:sz w:val="16"/>
          <w:szCs w:val="16"/>
          <w:lang w:val="de-DE"/>
        </w:rPr>
        <w:t xml:space="preserve">, </w:t>
      </w:r>
      <w:r w:rsidR="001030C1" w:rsidRPr="001030C1">
        <w:rPr>
          <w:rFonts w:cs="Arial"/>
          <w:i/>
          <w:iCs/>
          <w:sz w:val="16"/>
          <w:szCs w:val="16"/>
          <w:lang w:val="de-DE"/>
        </w:rPr>
        <w:t>LS on LP-WUS UE RF</w:t>
      </w:r>
      <w:r w:rsidR="001030C1">
        <w:rPr>
          <w:rFonts w:cs="Arial"/>
          <w:sz w:val="16"/>
          <w:szCs w:val="16"/>
          <w:lang w:val="de-DE"/>
        </w:rPr>
        <w:t xml:space="preserve">, LS out, </w:t>
      </w:r>
      <w:r w:rsidR="001030C1" w:rsidRPr="001030C1">
        <w:rPr>
          <w:rFonts w:cs="Arial"/>
          <w:sz w:val="16"/>
          <w:szCs w:val="16"/>
          <w:lang w:val="de-DE"/>
        </w:rPr>
        <w:t>RAN4</w:t>
      </w:r>
      <w:r w:rsidR="001030C1">
        <w:rPr>
          <w:rFonts w:cs="Arial"/>
          <w:sz w:val="16"/>
          <w:szCs w:val="16"/>
          <w:lang w:val="de-DE"/>
        </w:rPr>
        <w:t xml:space="preserve">, </w:t>
      </w:r>
      <w:r w:rsidR="001030C1" w:rsidRPr="001030C1">
        <w:rPr>
          <w:rFonts w:cs="Arial"/>
          <w:sz w:val="16"/>
          <w:szCs w:val="16"/>
          <w:lang w:val="de-DE"/>
        </w:rPr>
        <w:t>To:RAN1</w:t>
      </w:r>
      <w:r w:rsidR="001030C1">
        <w:rPr>
          <w:rFonts w:cs="Arial"/>
          <w:sz w:val="16"/>
          <w:szCs w:val="16"/>
          <w:lang w:val="de-DE"/>
        </w:rPr>
        <w:t xml:space="preserve">, </w:t>
      </w:r>
      <w:r w:rsidR="001030C1" w:rsidRPr="001030C1">
        <w:rPr>
          <w:rFonts w:cs="Arial"/>
          <w:sz w:val="16"/>
          <w:szCs w:val="16"/>
          <w:lang w:val="de-DE"/>
        </w:rPr>
        <w:t>Cc:RAN2</w:t>
      </w:r>
      <w:r w:rsidR="001030C1">
        <w:rPr>
          <w:rFonts w:cs="Arial"/>
          <w:sz w:val="16"/>
          <w:szCs w:val="16"/>
          <w:lang w:val="de-DE"/>
        </w:rPr>
        <w:t>, RAN4#114</w:t>
      </w:r>
    </w:p>
    <w:p w14:paraId="473731BB" w14:textId="78CF2134" w:rsidR="00EE4BAA" w:rsidRPr="00C85C8E" w:rsidRDefault="00EE4BAA" w:rsidP="00C178CE">
      <w:pPr>
        <w:numPr>
          <w:ilvl w:val="0"/>
          <w:numId w:val="1"/>
        </w:numPr>
        <w:overflowPunct w:val="0"/>
        <w:autoSpaceDE w:val="0"/>
        <w:autoSpaceDN w:val="0"/>
        <w:adjustRightInd w:val="0"/>
        <w:spacing w:before="60" w:after="60"/>
        <w:textAlignment w:val="baseline"/>
        <w:rPr>
          <w:rFonts w:cs="Arial"/>
          <w:sz w:val="14"/>
          <w:szCs w:val="14"/>
          <w:lang w:val="de-DE"/>
        </w:rPr>
      </w:pPr>
      <w:r w:rsidRPr="00C85C8E">
        <w:rPr>
          <w:rFonts w:cs="Arial"/>
          <w:sz w:val="14"/>
          <w:szCs w:val="14"/>
          <w:lang w:val="de-DE"/>
        </w:rPr>
        <w:lastRenderedPageBreak/>
        <w:t xml:space="preserve">R2-250xxxx, </w:t>
      </w:r>
      <w:r w:rsidRPr="00C85C8E">
        <w:rPr>
          <w:rFonts w:cs="Arial"/>
          <w:i/>
          <w:iCs/>
          <w:sz w:val="14"/>
          <w:szCs w:val="14"/>
          <w:lang w:val="de-DE"/>
        </w:rPr>
        <w:t>Discussion on neighboring cell measurement with LR</w:t>
      </w:r>
      <w:r w:rsidRPr="00C85C8E">
        <w:rPr>
          <w:rFonts w:cs="Arial"/>
          <w:sz w:val="14"/>
          <w:szCs w:val="14"/>
          <w:lang w:val="de-DE"/>
        </w:rPr>
        <w:t>, InterDigital, Ericsson, Nokia, Sony, Vodafone, KT, Turkcell, DISC, RAN2#130</w:t>
      </w:r>
    </w:p>
    <w:p w14:paraId="2E6608C6" w14:textId="77777777" w:rsidR="008B21A7" w:rsidRPr="00412567" w:rsidRDefault="008B21A7" w:rsidP="008B21A7">
      <w:pPr>
        <w:pStyle w:val="Heading1"/>
        <w:numPr>
          <w:ilvl w:val="0"/>
          <w:numId w:val="0"/>
        </w:numPr>
        <w:ind w:left="432" w:hanging="432"/>
      </w:pPr>
      <w:r w:rsidRPr="003E6B05">
        <w:t xml:space="preserve">Annex: </w:t>
      </w:r>
      <w:r>
        <w:t>A</w:t>
      </w:r>
      <w:r w:rsidRPr="003E6B05">
        <w:t>greements</w:t>
      </w:r>
    </w:p>
    <w:p w14:paraId="1B6B6887" w14:textId="77777777" w:rsidR="008B21A7" w:rsidRDefault="008B21A7" w:rsidP="008B21A7">
      <w:pPr>
        <w:outlineLvl w:val="1"/>
        <w:rPr>
          <w:b/>
          <w:bCs/>
          <w:lang w:val="en-GB" w:eastAsia="zh-CN"/>
        </w:rPr>
      </w:pPr>
      <w:r w:rsidRPr="00AE79E7">
        <w:rPr>
          <w:b/>
          <w:bCs/>
          <w:lang w:val="en-GB" w:eastAsia="zh-CN"/>
        </w:rPr>
        <w:t>RAN</w:t>
      </w:r>
      <w:r>
        <w:rPr>
          <w:b/>
          <w:bCs/>
          <w:lang w:val="en-GB" w:eastAsia="zh-CN"/>
        </w:rPr>
        <w:t>2</w:t>
      </w:r>
      <w:r w:rsidRPr="00AE79E7">
        <w:rPr>
          <w:b/>
          <w:bCs/>
          <w:lang w:val="en-GB" w:eastAsia="zh-CN"/>
        </w:rPr>
        <w:t xml:space="preserve"> agreements</w:t>
      </w:r>
      <w:r>
        <w:rPr>
          <w:b/>
          <w:bCs/>
          <w:lang w:val="en-GB" w:eastAsia="zh-CN"/>
        </w:rPr>
        <w:t xml:space="preserve"> (selection)</w:t>
      </w:r>
    </w:p>
    <w:p w14:paraId="2EA63A07" w14:textId="77777777" w:rsidR="00996D60" w:rsidRPr="00996D60" w:rsidRDefault="00996D60" w:rsidP="00996D60">
      <w:pPr>
        <w:pStyle w:val="Comments"/>
        <w:spacing w:before="0"/>
        <w:rPr>
          <w:rFonts w:ascii="Times New Roman" w:eastAsia="SimSun" w:hAnsi="Times New Roman"/>
          <w:bCs/>
          <w:i w:val="0"/>
          <w:szCs w:val="16"/>
          <w:u w:val="single"/>
          <w:lang w:val="en-US" w:eastAsia="zh-CN" w:bidi="ar"/>
        </w:rPr>
      </w:pPr>
      <w:r w:rsidRPr="00996D60">
        <w:rPr>
          <w:rFonts w:ascii="Times New Roman" w:eastAsia="SimSun" w:hAnsi="Times New Roman"/>
          <w:bCs/>
          <w:i w:val="0"/>
          <w:szCs w:val="16"/>
          <w:u w:val="single"/>
          <w:lang w:val="en-US" w:eastAsia="zh-CN" w:bidi="ar"/>
        </w:rPr>
        <w:t xml:space="preserve">RRM measurement relaxation </w:t>
      </w:r>
    </w:p>
    <w:p w14:paraId="3A0CFC47" w14:textId="77777777" w:rsidR="00996D60" w:rsidRPr="00996D60" w:rsidRDefault="00996D60" w:rsidP="00996D60">
      <w:pPr>
        <w:pStyle w:val="Agreement"/>
        <w:tabs>
          <w:tab w:val="clear" w:pos="1619"/>
          <w:tab w:val="left" w:pos="1636"/>
        </w:tabs>
        <w:spacing w:before="0"/>
        <w:ind w:left="360"/>
        <w:rPr>
          <w:szCs w:val="16"/>
          <w:lang w:eastAsia="zh-CN"/>
        </w:rPr>
      </w:pPr>
      <w:r w:rsidRPr="00996D60">
        <w:rPr>
          <w:szCs w:val="16"/>
          <w:lang w:eastAsia="zh-CN"/>
        </w:rPr>
        <w:t xml:space="preserve">RAN2 </w:t>
      </w:r>
      <w:r w:rsidRPr="00996D60">
        <w:rPr>
          <w:szCs w:val="16"/>
        </w:rPr>
        <w:t>assumes</w:t>
      </w:r>
      <w:r w:rsidRPr="00996D60">
        <w:rPr>
          <w:szCs w:val="16"/>
          <w:lang w:eastAsia="zh-CN"/>
        </w:rPr>
        <w:t xml:space="preserve"> for the entry/ exit conditions of serving cell measurement offloading and serving cell RRM measurement relaxation: </w:t>
      </w:r>
      <w:r w:rsidRPr="00996D60">
        <w:rPr>
          <w:rFonts w:eastAsia="SimSun"/>
          <w:szCs w:val="16"/>
          <w:lang w:eastAsia="zh-CN"/>
        </w:rPr>
        <w:t>s</w:t>
      </w:r>
      <w:r w:rsidRPr="00996D60">
        <w:rPr>
          <w:szCs w:val="16"/>
          <w:lang w:eastAsia="zh-CN"/>
        </w:rPr>
        <w:t xml:space="preserve">eparate MR thresholds (according to RAN1 agreement)/LR thresholds can be configured for </w:t>
      </w:r>
      <w:r w:rsidRPr="00996D60">
        <w:rPr>
          <w:rFonts w:eastAsia="SimSun"/>
          <w:szCs w:val="16"/>
          <w:lang w:eastAsia="zh-CN"/>
        </w:rPr>
        <w:t xml:space="preserve">different types of LP WUR </w:t>
      </w:r>
      <w:r w:rsidRPr="00996D60">
        <w:rPr>
          <w:szCs w:val="16"/>
          <w:lang w:eastAsia="zh-CN"/>
        </w:rPr>
        <w:t>if a cell supports both types of LRs</w:t>
      </w:r>
      <w:r w:rsidRPr="00996D60">
        <w:rPr>
          <w:rFonts w:eastAsia="SimSun"/>
          <w:szCs w:val="16"/>
          <w:lang w:eastAsia="zh-CN"/>
        </w:rPr>
        <w:t xml:space="preserve"> </w:t>
      </w:r>
      <w:r w:rsidRPr="00996D60">
        <w:rPr>
          <w:szCs w:val="16"/>
          <w:lang w:eastAsia="zh-CN"/>
        </w:rPr>
        <w:t>(can revisit based on RAN</w:t>
      </w:r>
      <w:r w:rsidRPr="00996D60">
        <w:rPr>
          <w:rFonts w:eastAsia="SimSun"/>
          <w:szCs w:val="16"/>
          <w:lang w:eastAsia="zh-CN"/>
        </w:rPr>
        <w:t xml:space="preserve">1 and RAN </w:t>
      </w:r>
      <w:r w:rsidRPr="00996D60">
        <w:rPr>
          <w:szCs w:val="16"/>
          <w:lang w:eastAsia="zh-CN"/>
        </w:rPr>
        <w:t>4 progress, if any).</w:t>
      </w:r>
    </w:p>
    <w:p w14:paraId="1F37128D" w14:textId="77777777" w:rsidR="00996D60" w:rsidRPr="00996D60" w:rsidRDefault="00996D60" w:rsidP="00996D60">
      <w:pPr>
        <w:pStyle w:val="Agreement"/>
        <w:tabs>
          <w:tab w:val="clear" w:pos="1619"/>
          <w:tab w:val="left" w:pos="1636"/>
        </w:tabs>
        <w:spacing w:before="0"/>
        <w:ind w:left="360"/>
        <w:rPr>
          <w:rFonts w:eastAsia="DengXian"/>
          <w:bCs/>
          <w:iCs/>
          <w:noProof/>
          <w:szCs w:val="16"/>
          <w:lang w:eastAsia="zh-CN"/>
        </w:rPr>
      </w:pPr>
      <w:r w:rsidRPr="00996D60">
        <w:rPr>
          <w:szCs w:val="16"/>
          <w:lang w:eastAsia="zh-CN"/>
        </w:rPr>
        <w:t xml:space="preserve">RAN2 assumes the entry/exit thresholds for RRM relaxation/offloading for OFDM-based WUR measuring LP-SS only are the same as that for OOK-based WUR measuring LP-SS. It can be revisited based on RAN1/RAN4 process, if any. </w:t>
      </w:r>
      <w:r w:rsidRPr="00996D60">
        <w:rPr>
          <w:rFonts w:eastAsia="DengXian"/>
          <w:bCs/>
          <w:iCs/>
          <w:noProof/>
          <w:szCs w:val="16"/>
          <w:lang w:eastAsia="zh-CN"/>
        </w:rPr>
        <w:t xml:space="preserve">Network is allowed to provide either OOK based threshold or OFDM based WUR mesasuring SSB threhold or both. </w:t>
      </w:r>
    </w:p>
    <w:p w14:paraId="1ECF6E23" w14:textId="77777777" w:rsidR="00996D60" w:rsidRPr="00996D60" w:rsidRDefault="00996D60" w:rsidP="00996D60">
      <w:pPr>
        <w:pStyle w:val="Agreement"/>
        <w:tabs>
          <w:tab w:val="clear" w:pos="1619"/>
          <w:tab w:val="left" w:pos="1636"/>
        </w:tabs>
        <w:spacing w:before="0"/>
        <w:ind w:left="360"/>
        <w:rPr>
          <w:rFonts w:eastAsia="DengXian"/>
          <w:bCs/>
          <w:iCs/>
          <w:noProof/>
          <w:szCs w:val="16"/>
          <w:lang w:eastAsia="zh-CN"/>
        </w:rPr>
      </w:pPr>
      <w:r w:rsidRPr="00996D60">
        <w:rPr>
          <w:rFonts w:eastAsia="DengXian"/>
          <w:szCs w:val="16"/>
          <w:lang w:eastAsia="zh-CN"/>
        </w:rPr>
        <w:t>I</w:t>
      </w:r>
      <w:r w:rsidRPr="00996D60">
        <w:rPr>
          <w:szCs w:val="16"/>
          <w:lang w:eastAsia="zh-CN"/>
        </w:rPr>
        <w:t>t is up to NW to configure either serving cell relaxation or serving cell offloading or both in one cell.</w:t>
      </w:r>
    </w:p>
    <w:p w14:paraId="16C0F010" w14:textId="77777777" w:rsidR="00996D60" w:rsidRPr="00996D60" w:rsidRDefault="00996D60" w:rsidP="00996D60">
      <w:pPr>
        <w:pStyle w:val="Agreement"/>
        <w:tabs>
          <w:tab w:val="clear" w:pos="1619"/>
          <w:tab w:val="left" w:pos="1636"/>
        </w:tabs>
        <w:spacing w:before="0"/>
        <w:ind w:left="360"/>
        <w:rPr>
          <w:rFonts w:eastAsia="DengXian"/>
          <w:bCs/>
          <w:iCs/>
          <w:noProof/>
          <w:szCs w:val="16"/>
          <w:lang w:eastAsia="zh-CN"/>
        </w:rPr>
      </w:pPr>
      <w:r w:rsidRPr="00996D60">
        <w:rPr>
          <w:szCs w:val="16"/>
          <w:lang w:eastAsia="zh-CN"/>
        </w:rPr>
        <w:t>The metrics for RRM measurement offloading/relaxation criteria include (LP-)RSRP and optional (LP-)RSRQ.</w:t>
      </w:r>
    </w:p>
    <w:p w14:paraId="02C643E6" w14:textId="77777777" w:rsidR="00996D60" w:rsidRPr="00996D60" w:rsidRDefault="00996D60" w:rsidP="00996D60">
      <w:pPr>
        <w:pStyle w:val="Agreement"/>
        <w:tabs>
          <w:tab w:val="clear" w:pos="1619"/>
          <w:tab w:val="left" w:pos="1636"/>
        </w:tabs>
        <w:spacing w:before="0"/>
        <w:ind w:left="360"/>
        <w:rPr>
          <w:rFonts w:eastAsia="DengXian"/>
          <w:bCs/>
          <w:iCs/>
          <w:noProof/>
          <w:szCs w:val="16"/>
          <w:lang w:eastAsia="zh-CN"/>
        </w:rPr>
      </w:pPr>
      <w:r w:rsidRPr="00996D60">
        <w:rPr>
          <w:bCs/>
          <w:noProof/>
          <w:szCs w:val="16"/>
          <w:lang w:eastAsia="zh-CN"/>
        </w:rPr>
        <w:t>How to define LP-RSRP and LP-RSRQ is up to RAN1.</w:t>
      </w:r>
    </w:p>
    <w:p w14:paraId="0B2776DF" w14:textId="77777777" w:rsidR="00996D60" w:rsidRPr="00996D60" w:rsidRDefault="00996D60" w:rsidP="00996D60">
      <w:pPr>
        <w:pStyle w:val="Agreement"/>
        <w:tabs>
          <w:tab w:val="clear" w:pos="1619"/>
          <w:tab w:val="left" w:pos="1636"/>
        </w:tabs>
        <w:spacing w:before="0"/>
        <w:ind w:left="360"/>
        <w:rPr>
          <w:rFonts w:eastAsia="DengXian"/>
          <w:bCs/>
          <w:iCs/>
          <w:noProof/>
          <w:szCs w:val="16"/>
          <w:lang w:eastAsia="zh-CN"/>
        </w:rPr>
      </w:pPr>
      <w:r w:rsidRPr="00996D60">
        <w:rPr>
          <w:szCs w:val="16"/>
          <w:lang w:eastAsia="zh-CN"/>
        </w:rPr>
        <w:t>The duplication between RAN2 and RAN4 specification on RRM relaxation and offloading should be avoided, details up to running CR rapporteur and companies’ review.</w:t>
      </w:r>
    </w:p>
    <w:p w14:paraId="0407F1DB" w14:textId="77777777" w:rsidR="00996D60" w:rsidRPr="00996D60" w:rsidRDefault="00996D60" w:rsidP="00996D60">
      <w:pPr>
        <w:pStyle w:val="Agreement"/>
        <w:tabs>
          <w:tab w:val="clear" w:pos="1619"/>
          <w:tab w:val="left" w:pos="1636"/>
        </w:tabs>
        <w:spacing w:before="0"/>
        <w:ind w:left="360"/>
        <w:rPr>
          <w:bCs/>
          <w:iCs/>
          <w:szCs w:val="16"/>
          <w:lang w:eastAsia="zh-CN"/>
        </w:rPr>
      </w:pPr>
      <w:r w:rsidRPr="00996D60">
        <w:rPr>
          <w:bCs/>
          <w:iCs/>
          <w:szCs w:val="16"/>
          <w:lang w:eastAsia="zh-CN"/>
        </w:rPr>
        <w:t>Merge the entry/exit condition for Serving Cell RRM measurement relaxation and Rel-19 Neighboring Cell RRM measurement relaxation (higher priority frequency is separate discussion)</w:t>
      </w:r>
      <w:r w:rsidRPr="00996D60">
        <w:rPr>
          <w:rFonts w:eastAsia="SimSun"/>
          <w:bCs/>
          <w:iCs/>
          <w:szCs w:val="16"/>
          <w:lang w:eastAsia="zh-CN"/>
        </w:rPr>
        <w:t xml:space="preserve">. </w:t>
      </w:r>
    </w:p>
    <w:p w14:paraId="3FD60271" w14:textId="77777777" w:rsidR="00996D60" w:rsidRPr="00996D60" w:rsidRDefault="00996D60" w:rsidP="00996D60">
      <w:pPr>
        <w:pStyle w:val="Agreement"/>
        <w:numPr>
          <w:ilvl w:val="0"/>
          <w:numId w:val="0"/>
        </w:numPr>
        <w:spacing w:before="0"/>
        <w:rPr>
          <w:rFonts w:eastAsia="SimSun"/>
          <w:bCs/>
          <w:iCs/>
          <w:color w:val="FF0000"/>
          <w:szCs w:val="16"/>
          <w:lang w:eastAsia="zh-CN"/>
        </w:rPr>
      </w:pPr>
    </w:p>
    <w:p w14:paraId="102873DC" w14:textId="77777777" w:rsidR="00996D60" w:rsidRPr="00996D60" w:rsidRDefault="00996D60" w:rsidP="00996D60">
      <w:pPr>
        <w:pStyle w:val="Doc-text2"/>
        <w:ind w:left="346"/>
        <w:rPr>
          <w:rFonts w:ascii="Times New Roman" w:eastAsia="SimSun" w:hAnsi="Times New Roman"/>
          <w:sz w:val="16"/>
          <w:szCs w:val="16"/>
          <w:lang w:eastAsia="zh-CN"/>
        </w:rPr>
      </w:pPr>
      <w:r w:rsidRPr="00996D60">
        <w:rPr>
          <w:rFonts w:ascii="Times New Roman" w:eastAsia="SimSun" w:hAnsi="Times New Roman"/>
          <w:sz w:val="16"/>
          <w:szCs w:val="16"/>
          <w:lang w:eastAsia="zh-CN"/>
        </w:rPr>
        <w:t>Chair observation: only one company have strong concern on the following discussion point</w:t>
      </w:r>
    </w:p>
    <w:p w14:paraId="7AF18474" w14:textId="77777777" w:rsidR="00996D60" w:rsidRPr="00996D60" w:rsidRDefault="00996D60" w:rsidP="00996D60">
      <w:pPr>
        <w:pStyle w:val="Agreement"/>
        <w:numPr>
          <w:ilvl w:val="0"/>
          <w:numId w:val="0"/>
        </w:numPr>
        <w:spacing w:before="0"/>
        <w:ind w:left="343" w:hanging="360"/>
        <w:rPr>
          <w:b w:val="0"/>
          <w:bCs/>
          <w:iCs/>
          <w:szCs w:val="16"/>
          <w:lang w:eastAsia="zh-CN"/>
        </w:rPr>
      </w:pPr>
      <w:r w:rsidRPr="00996D60">
        <w:rPr>
          <w:rFonts w:eastAsia="SimSun"/>
          <w:b w:val="0"/>
          <w:bCs/>
          <w:iCs/>
          <w:szCs w:val="16"/>
          <w:lang w:eastAsia="zh-CN"/>
        </w:rPr>
        <w:t>Can further discuss</w:t>
      </w:r>
      <w:r w:rsidRPr="00996D60">
        <w:rPr>
          <w:b w:val="0"/>
          <w:bCs/>
          <w:iCs/>
          <w:szCs w:val="16"/>
          <w:lang w:eastAsia="zh-CN"/>
        </w:rPr>
        <w:t xml:space="preserve"> Direction 3:</w:t>
      </w:r>
    </w:p>
    <w:p w14:paraId="1E734590" w14:textId="77777777" w:rsidR="00996D60" w:rsidRPr="00996D60" w:rsidRDefault="00996D60" w:rsidP="00996D60">
      <w:pPr>
        <w:pStyle w:val="Agreement"/>
        <w:numPr>
          <w:ilvl w:val="3"/>
          <w:numId w:val="12"/>
        </w:numPr>
        <w:tabs>
          <w:tab w:val="left" w:pos="1168"/>
          <w:tab w:val="left" w:pos="1636"/>
        </w:tabs>
        <w:spacing w:before="0"/>
        <w:ind w:left="612"/>
        <w:rPr>
          <w:rFonts w:eastAsia="Calibri"/>
          <w:b w:val="0"/>
          <w:bCs/>
          <w:iCs/>
          <w:szCs w:val="16"/>
          <w:lang w:eastAsia="zh-CN"/>
        </w:rPr>
      </w:pPr>
      <w:r w:rsidRPr="00996D60">
        <w:rPr>
          <w:b w:val="0"/>
          <w:bCs/>
          <w:iCs/>
          <w:szCs w:val="16"/>
          <w:lang w:eastAsia="zh-CN"/>
        </w:rPr>
        <w:t>Direction 3a. merge LPWUS monitoring and serving cell offloading</w:t>
      </w:r>
    </w:p>
    <w:p w14:paraId="47405CAF" w14:textId="77777777" w:rsidR="00996D60" w:rsidRPr="00996D60" w:rsidRDefault="00996D60" w:rsidP="00996D60">
      <w:pPr>
        <w:pStyle w:val="Agreement"/>
        <w:numPr>
          <w:ilvl w:val="3"/>
          <w:numId w:val="12"/>
        </w:numPr>
        <w:tabs>
          <w:tab w:val="left" w:pos="1168"/>
          <w:tab w:val="left" w:pos="1636"/>
        </w:tabs>
        <w:spacing w:before="0"/>
        <w:ind w:left="612"/>
        <w:rPr>
          <w:b w:val="0"/>
          <w:bCs/>
          <w:iCs/>
          <w:szCs w:val="16"/>
          <w:lang w:eastAsia="zh-CN"/>
        </w:rPr>
      </w:pPr>
      <w:r w:rsidRPr="00996D60">
        <w:rPr>
          <w:b w:val="0"/>
          <w:bCs/>
          <w:iCs/>
          <w:szCs w:val="16"/>
          <w:lang w:eastAsia="zh-CN"/>
        </w:rPr>
        <w:t>Direction 3b. merge LPWUS monitoring and Rel-19 RRM relaxation</w:t>
      </w:r>
    </w:p>
    <w:p w14:paraId="7F5862B3" w14:textId="77777777" w:rsidR="008B21A7" w:rsidRPr="00EF5B04" w:rsidRDefault="008B21A7" w:rsidP="008B21A7">
      <w:pPr>
        <w:pStyle w:val="Doc-text2"/>
        <w:rPr>
          <w:lang w:eastAsia="zh-CN"/>
        </w:rPr>
      </w:pPr>
    </w:p>
    <w:p w14:paraId="7CCF6D3A" w14:textId="77777777" w:rsidR="008B21A7" w:rsidRDefault="008B21A7" w:rsidP="008B21A7">
      <w:pPr>
        <w:outlineLvl w:val="1"/>
        <w:rPr>
          <w:b/>
          <w:bCs/>
          <w:lang w:val="en-GB" w:eastAsia="zh-CN"/>
        </w:rPr>
      </w:pPr>
      <w:r w:rsidRPr="00AE79E7">
        <w:rPr>
          <w:b/>
          <w:bCs/>
          <w:lang w:val="en-GB" w:eastAsia="zh-CN"/>
        </w:rPr>
        <w:t>RAN</w:t>
      </w:r>
      <w:r>
        <w:rPr>
          <w:b/>
          <w:bCs/>
          <w:lang w:val="en-GB" w:eastAsia="zh-CN"/>
        </w:rPr>
        <w:t>4</w:t>
      </w:r>
      <w:r w:rsidRPr="00AE79E7">
        <w:rPr>
          <w:b/>
          <w:bCs/>
          <w:lang w:val="en-GB" w:eastAsia="zh-CN"/>
        </w:rPr>
        <w:t xml:space="preserve"> agreements</w:t>
      </w:r>
      <w:r>
        <w:rPr>
          <w:b/>
          <w:bCs/>
          <w:lang w:val="en-GB" w:eastAsia="zh-CN"/>
        </w:rPr>
        <w:t xml:space="preserve"> (selection)</w:t>
      </w:r>
    </w:p>
    <w:p w14:paraId="44717A5C"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
          <w:bCs/>
          <w:sz w:val="16"/>
          <w:szCs w:val="16"/>
          <w:u w:val="single"/>
          <w:lang w:eastAsia="zh-CN"/>
        </w:rPr>
        <w:t>Issue 1-1-10: Considerations on higher priority frequency layer</w:t>
      </w:r>
    </w:p>
    <w:p w14:paraId="506FEF0B"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highlight w:val="green"/>
          <w:lang w:eastAsia="zh-CN"/>
        </w:rPr>
        <w:t>Agreement:</w:t>
      </w:r>
    </w:p>
    <w:p w14:paraId="713247BE" w14:textId="77777777" w:rsidR="008B21A7" w:rsidRPr="008B21A7" w:rsidRDefault="008B21A7" w:rsidP="00996D60">
      <w:pPr>
        <w:numPr>
          <w:ilvl w:val="0"/>
          <w:numId w:val="6"/>
        </w:num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Support relaxed higher priority frequency layer search at case 1</w:t>
      </w:r>
    </w:p>
    <w:p w14:paraId="30F7408E"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 </w:t>
      </w:r>
    </w:p>
    <w:p w14:paraId="18745D3B"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
          <w:bCs/>
          <w:sz w:val="16"/>
          <w:szCs w:val="16"/>
          <w:u w:val="single"/>
          <w:lang w:eastAsia="zh-CN"/>
        </w:rPr>
        <w:t>Issue 1-1-12: On LR measurement metrics LP-RSRP and LP-RSRQ</w:t>
      </w:r>
    </w:p>
    <w:p w14:paraId="43296B83"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highlight w:val="green"/>
          <w:lang w:eastAsia="zh-CN"/>
        </w:rPr>
        <w:t>Agreement:</w:t>
      </w:r>
    </w:p>
    <w:p w14:paraId="270E5A95" w14:textId="77777777" w:rsidR="008B21A7" w:rsidRDefault="008B21A7" w:rsidP="00996D60">
      <w:pPr>
        <w:numPr>
          <w:ilvl w:val="0"/>
          <w:numId w:val="7"/>
        </w:num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For frequency range 1, the reference point for the LP-RSRP and LP-RSRQ shall be the antenna connector of the UE</w:t>
      </w:r>
    </w:p>
    <w:p w14:paraId="6398A6E8" w14:textId="77777777" w:rsidR="008B21A7" w:rsidRPr="008B21A7" w:rsidRDefault="008B21A7" w:rsidP="008B21A7">
      <w:pPr>
        <w:spacing w:after="0"/>
        <w:ind w:left="720"/>
        <w:contextualSpacing/>
        <w:jc w:val="both"/>
        <w:rPr>
          <w:rFonts w:ascii="Times New Roman" w:eastAsia="DengXian" w:hAnsi="Times New Roman"/>
          <w:bCs/>
          <w:sz w:val="16"/>
          <w:szCs w:val="16"/>
          <w:lang w:eastAsia="zh-CN"/>
        </w:rPr>
      </w:pPr>
    </w:p>
    <w:p w14:paraId="6CB5BF5F"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
          <w:bCs/>
          <w:sz w:val="16"/>
          <w:szCs w:val="16"/>
          <w:u w:val="single"/>
          <w:lang w:eastAsia="zh-CN"/>
        </w:rPr>
        <w:t>Issue 1-2-1: General on LR accuracy requirement</w:t>
      </w:r>
    </w:p>
    <w:p w14:paraId="137B9707"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highlight w:val="green"/>
          <w:lang w:eastAsia="zh-CN"/>
        </w:rPr>
        <w:t>Agreement:</w:t>
      </w:r>
    </w:p>
    <w:p w14:paraId="075D903C"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No dedicated accuracy requirement is defined in the performance section for LP-WUR based RRM measurement in Idle/inactive states, and reflect the accuracy performance as a margin relative to the threshold in the core requirement.</w:t>
      </w:r>
    </w:p>
    <w:p w14:paraId="2B72F31D"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 </w:t>
      </w:r>
    </w:p>
    <w:p w14:paraId="73E5648B"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
          <w:bCs/>
          <w:sz w:val="16"/>
          <w:szCs w:val="16"/>
          <w:u w:val="single"/>
          <w:lang w:eastAsia="zh-CN"/>
        </w:rPr>
        <w:t>Issue 1-2-1-1: Detail on LR accuracy and side conditions requirements</w:t>
      </w:r>
    </w:p>
    <w:p w14:paraId="424F0D80"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highlight w:val="green"/>
          <w:lang w:eastAsia="zh-CN"/>
        </w:rPr>
        <w:t>Agreement:</w:t>
      </w:r>
    </w:p>
    <w:p w14:paraId="6DC5BBA4"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For FR1:</w:t>
      </w:r>
    </w:p>
    <w:p w14:paraId="55BC821B" w14:textId="77777777" w:rsidR="008B21A7" w:rsidRPr="008B21A7" w:rsidRDefault="008B21A7" w:rsidP="00996D60">
      <w:pPr>
        <w:numPr>
          <w:ilvl w:val="0"/>
          <w:numId w:val="8"/>
        </w:num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[±3.5] dB can be used for core requirements for LP-RSRQ accuracy and [±5.5 or ±6] dB can be used for core requirements for LP-RSRP accuracy, under the side conditions Ês/Iot [x, x = -3] dB</w:t>
      </w:r>
    </w:p>
    <w:p w14:paraId="3BD825A4" w14:textId="77777777" w:rsidR="008B21A7" w:rsidRPr="008B21A7" w:rsidRDefault="008B21A7" w:rsidP="00996D60">
      <w:pPr>
        <w:numPr>
          <w:ilvl w:val="0"/>
          <w:numId w:val="8"/>
        </w:num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[±3.5] dB can be used for core requirements of SSB based RSRQ accuracy and [±5.5 or ±6] dB can be used for core requirements for SSB based RSRP accuracy, under the side conditions Ês/Iot [y, y = -3] dB</w:t>
      </w:r>
    </w:p>
    <w:p w14:paraId="6E28EAA1" w14:textId="77777777" w:rsidR="008B21A7" w:rsidRPr="008B21A7" w:rsidRDefault="008B21A7" w:rsidP="00996D60">
      <w:pPr>
        <w:numPr>
          <w:ilvl w:val="0"/>
          <w:numId w:val="8"/>
        </w:num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 xml:space="preserve">Note: [2 </w:t>
      </w:r>
      <w:r w:rsidRPr="008B21A7">
        <w:rPr>
          <w:rFonts w:ascii="Times New Roman" w:eastAsia="DengXian" w:hAnsi="Times New Roman"/>
          <w:bCs/>
          <w:sz w:val="16"/>
          <w:szCs w:val="16"/>
          <w:u w:val="single"/>
          <w:lang w:eastAsia="zh-CN"/>
        </w:rPr>
        <w:t>or 2.5</w:t>
      </w:r>
      <w:r w:rsidRPr="008B21A7">
        <w:rPr>
          <w:rFonts w:ascii="Times New Roman" w:eastAsia="DengXian" w:hAnsi="Times New Roman"/>
          <w:bCs/>
          <w:sz w:val="16"/>
          <w:szCs w:val="16"/>
          <w:lang w:eastAsia="zh-CN"/>
        </w:rPr>
        <w:t>] dB RF impairment margin is assumed</w:t>
      </w:r>
    </w:p>
    <w:p w14:paraId="32BE0B77"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 </w:t>
      </w:r>
    </w:p>
    <w:p w14:paraId="3FCA9A24"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
          <w:bCs/>
          <w:sz w:val="16"/>
          <w:szCs w:val="16"/>
          <w:u w:val="single"/>
          <w:lang w:eastAsia="zh-CN"/>
        </w:rPr>
        <w:t>Issue 1-2-2: Periodicity for LP-WUR RRM requirements</w:t>
      </w:r>
    </w:p>
    <w:p w14:paraId="5A881C9C"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highlight w:val="green"/>
          <w:lang w:eastAsia="zh-CN"/>
        </w:rPr>
        <w:t>Agreement:</w:t>
      </w:r>
    </w:p>
    <w:p w14:paraId="32BE7C17"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 xml:space="preserve">Regardless of  whether LP-SS is configured or not, periodicity for SSB based LP-WUR measurement delay requirements is based on LO periodicity. </w:t>
      </w:r>
    </w:p>
    <w:p w14:paraId="50AB5C04"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 </w:t>
      </w:r>
    </w:p>
    <w:p w14:paraId="58F5E13D"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
          <w:bCs/>
          <w:sz w:val="16"/>
          <w:szCs w:val="16"/>
          <w:u w:val="single"/>
          <w:lang w:eastAsia="zh-CN"/>
        </w:rPr>
        <w:t>Issue 1-2-4-1: On LR measurement filtering requirement</w:t>
      </w:r>
    </w:p>
    <w:p w14:paraId="6BCECE8E"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highlight w:val="green"/>
          <w:lang w:eastAsia="zh-CN"/>
        </w:rPr>
        <w:t>Agreement:</w:t>
      </w:r>
    </w:p>
    <w:p w14:paraId="77D6FEEA" w14:textId="77777777" w:rsidR="008B21A7" w:rsidRPr="008B21A7" w:rsidRDefault="008B21A7" w:rsidP="00996D60">
      <w:pPr>
        <w:numPr>
          <w:ilvl w:val="0"/>
          <w:numId w:val="9"/>
        </w:num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The UE shall filter the [</w:t>
      </w:r>
      <w:r w:rsidRPr="008B21A7">
        <w:rPr>
          <w:rFonts w:ascii="Times New Roman" w:eastAsia="DengXian" w:hAnsi="Times New Roman"/>
          <w:b/>
          <w:bCs/>
          <w:sz w:val="16"/>
          <w:szCs w:val="16"/>
          <w:lang w:eastAsia="zh-CN"/>
        </w:rPr>
        <w:t>SS-RSRP and SS-RSRQ</w:t>
      </w:r>
      <w:r w:rsidRPr="008B21A7">
        <w:rPr>
          <w:rFonts w:ascii="Times New Roman" w:eastAsia="DengXian" w:hAnsi="Times New Roman"/>
          <w:bCs/>
          <w:sz w:val="16"/>
          <w:szCs w:val="16"/>
          <w:lang w:eastAsia="zh-CN"/>
        </w:rPr>
        <w:t>] measurements of the serving cell using at least 2 measurements. Within the set of measurements used for the filtering, at least two measurements shall be spaced by [LO periodicity /2] for SSB based LR.</w:t>
      </w:r>
    </w:p>
    <w:p w14:paraId="0DFE556A"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
          <w:bCs/>
          <w:sz w:val="16"/>
          <w:szCs w:val="16"/>
          <w:u w:val="single"/>
          <w:lang w:eastAsia="zh-CN"/>
        </w:rPr>
        <w:t> </w:t>
      </w:r>
    </w:p>
    <w:p w14:paraId="711F8777"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
          <w:bCs/>
          <w:sz w:val="16"/>
          <w:szCs w:val="16"/>
          <w:u w:val="single"/>
          <w:lang w:eastAsia="zh-CN"/>
        </w:rPr>
        <w:t>Issue 1-2-5-2: On MR evaluation requirements</w:t>
      </w:r>
    </w:p>
    <w:p w14:paraId="619CD6C4"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highlight w:val="green"/>
          <w:lang w:eastAsia="zh-CN"/>
        </w:rPr>
        <w:t>Agreement:</w:t>
      </w:r>
      <w:r w:rsidRPr="008B21A7">
        <w:rPr>
          <w:rFonts w:ascii="Times New Roman" w:eastAsia="DengXian" w:hAnsi="Times New Roman"/>
          <w:bCs/>
          <w:sz w:val="16"/>
          <w:szCs w:val="16"/>
          <w:lang w:eastAsia="zh-CN"/>
        </w:rPr>
        <w:t xml:space="preserve"> </w:t>
      </w:r>
    </w:p>
    <w:p w14:paraId="58E804D4" w14:textId="77777777" w:rsidR="008B21A7" w:rsidRPr="008B21A7" w:rsidRDefault="008B21A7" w:rsidP="00996D60">
      <w:pPr>
        <w:numPr>
          <w:ilvl w:val="0"/>
          <w:numId w:val="10"/>
        </w:num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Reuse legacy N</w:t>
      </w:r>
      <w:r w:rsidRPr="008B21A7">
        <w:rPr>
          <w:rFonts w:ascii="Times New Roman" w:eastAsia="DengXian" w:hAnsi="Times New Roman"/>
          <w:bCs/>
          <w:sz w:val="16"/>
          <w:szCs w:val="16"/>
          <w:vertAlign w:val="subscript"/>
          <w:lang w:eastAsia="zh-CN"/>
        </w:rPr>
        <w:t>serv</w:t>
      </w:r>
    </w:p>
    <w:p w14:paraId="580E1ADF" w14:textId="77777777" w:rsidR="008B21A7" w:rsidRPr="008B21A7" w:rsidRDefault="008B21A7" w:rsidP="00996D60">
      <w:pPr>
        <w:numPr>
          <w:ilvl w:val="0"/>
          <w:numId w:val="10"/>
        </w:num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 xml:space="preserve">Note: the legacy values are </w:t>
      </w:r>
      <w:r w:rsidRPr="008B21A7">
        <w:rPr>
          <w:rFonts w:ascii="Times New Roman" w:eastAsia="DengXian" w:hAnsi="Times New Roman"/>
          <w:b/>
          <w:bCs/>
          <w:sz w:val="16"/>
          <w:szCs w:val="16"/>
          <w:lang w:eastAsia="zh-CN"/>
        </w:rPr>
        <w:t>N</w:t>
      </w:r>
      <w:r w:rsidRPr="008B21A7">
        <w:rPr>
          <w:rFonts w:ascii="Times New Roman" w:eastAsia="DengXian" w:hAnsi="Times New Roman"/>
          <w:b/>
          <w:bCs/>
          <w:sz w:val="16"/>
          <w:szCs w:val="16"/>
          <w:vertAlign w:val="subscript"/>
          <w:lang w:eastAsia="zh-CN"/>
        </w:rPr>
        <w:t xml:space="preserve">serv </w:t>
      </w:r>
      <w:r w:rsidRPr="008B21A7">
        <w:rPr>
          <w:rFonts w:ascii="Times New Roman" w:eastAsia="DengXian" w:hAnsi="Times New Roman"/>
          <w:b/>
          <w:bCs/>
          <w:sz w:val="16"/>
          <w:szCs w:val="16"/>
          <w:lang w:eastAsia="zh-CN"/>
        </w:rPr>
        <w:t>= 4</w:t>
      </w:r>
      <w:r w:rsidRPr="008B21A7">
        <w:rPr>
          <w:rFonts w:ascii="Times New Roman" w:eastAsia="DengXian" w:hAnsi="Times New Roman"/>
          <w:bCs/>
          <w:sz w:val="16"/>
          <w:szCs w:val="16"/>
          <w:lang w:eastAsia="zh-CN"/>
        </w:rPr>
        <w:t xml:space="preserve"> when DRX = 0.32s and 0.64s, </w:t>
      </w:r>
      <w:r w:rsidRPr="008B21A7">
        <w:rPr>
          <w:rFonts w:ascii="Times New Roman" w:eastAsia="DengXian" w:hAnsi="Times New Roman"/>
          <w:b/>
          <w:bCs/>
          <w:sz w:val="16"/>
          <w:szCs w:val="16"/>
          <w:lang w:eastAsia="zh-CN"/>
        </w:rPr>
        <w:t>N</w:t>
      </w:r>
      <w:r w:rsidRPr="008B21A7">
        <w:rPr>
          <w:rFonts w:ascii="Times New Roman" w:eastAsia="DengXian" w:hAnsi="Times New Roman"/>
          <w:b/>
          <w:bCs/>
          <w:sz w:val="16"/>
          <w:szCs w:val="16"/>
          <w:vertAlign w:val="subscript"/>
          <w:lang w:eastAsia="zh-CN"/>
        </w:rPr>
        <w:t>serv</w:t>
      </w:r>
      <w:r w:rsidRPr="008B21A7">
        <w:rPr>
          <w:rFonts w:ascii="Times New Roman" w:eastAsia="DengXian" w:hAnsi="Times New Roman"/>
          <w:b/>
          <w:bCs/>
          <w:sz w:val="16"/>
          <w:szCs w:val="16"/>
          <w:lang w:eastAsia="zh-CN"/>
        </w:rPr>
        <w:t xml:space="preserve"> = 2</w:t>
      </w:r>
      <w:r w:rsidRPr="008B21A7">
        <w:rPr>
          <w:rFonts w:ascii="Times New Roman" w:eastAsia="DengXian" w:hAnsi="Times New Roman"/>
          <w:bCs/>
          <w:sz w:val="16"/>
          <w:szCs w:val="16"/>
          <w:lang w:eastAsia="zh-CN"/>
        </w:rPr>
        <w:t xml:space="preserve"> when DRX = 1.28 and 2.56s</w:t>
      </w:r>
    </w:p>
    <w:p w14:paraId="3029BF65"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lastRenderedPageBreak/>
        <w:t> </w:t>
      </w:r>
    </w:p>
    <w:p w14:paraId="4CA04C20"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
          <w:bCs/>
          <w:sz w:val="16"/>
          <w:szCs w:val="16"/>
          <w:u w:val="single"/>
          <w:lang w:eastAsia="zh-CN"/>
        </w:rPr>
        <w:t>Issue 1-2-6: On MR wake up delay related requirements for LP-WUR and RAN1 LS R1-2501624</w:t>
      </w:r>
    </w:p>
    <w:p w14:paraId="3C953793"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
          <w:bCs/>
          <w:sz w:val="16"/>
          <w:szCs w:val="16"/>
          <w:u w:val="single"/>
          <w:lang w:eastAsia="zh-CN"/>
        </w:rPr>
        <w:t>Issue 1-2-6-1: On the number of SSBs</w:t>
      </w:r>
    </w:p>
    <w:p w14:paraId="4381D4F9"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highlight w:val="green"/>
          <w:lang w:eastAsia="zh-CN"/>
        </w:rPr>
        <w:t>Agreement:</w:t>
      </w:r>
      <w:r w:rsidRPr="008B21A7">
        <w:rPr>
          <w:rFonts w:ascii="Times New Roman" w:eastAsia="DengXian" w:hAnsi="Times New Roman"/>
          <w:bCs/>
          <w:sz w:val="16"/>
          <w:szCs w:val="16"/>
          <w:lang w:eastAsia="zh-CN"/>
        </w:rPr>
        <w:t xml:space="preserve"> Aim to conclude the issue by Tuesday in RAN4 #115.</w:t>
      </w:r>
    </w:p>
    <w:p w14:paraId="66D434BD"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 </w:t>
      </w:r>
    </w:p>
    <w:p w14:paraId="75F82028"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
          <w:bCs/>
          <w:sz w:val="16"/>
          <w:szCs w:val="16"/>
          <w:u w:val="single"/>
          <w:lang w:eastAsia="zh-CN"/>
        </w:rPr>
        <w:t>Issue 1-2-6-2: On SSBs number for different SSB periodicities</w:t>
      </w:r>
    </w:p>
    <w:p w14:paraId="4AF69524"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highlight w:val="green"/>
          <w:lang w:eastAsia="zh-CN"/>
        </w:rPr>
        <w:t>Agreement</w:t>
      </w:r>
    </w:p>
    <w:p w14:paraId="70C47498"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 xml:space="preserve">Same SSB number for different SSB periodicity </w:t>
      </w:r>
    </w:p>
    <w:p w14:paraId="3BB9E859"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 </w:t>
      </w:r>
    </w:p>
    <w:p w14:paraId="6613855B"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highlight w:val="green"/>
          <w:lang w:eastAsia="zh-CN"/>
        </w:rPr>
        <w:t>Agreement</w:t>
      </w:r>
    </w:p>
    <w:p w14:paraId="15EFEAE6"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 xml:space="preserve">When SSB periodicity is 5 ms or 10ms, a lower bound 20 ms will be used for MR wake up delay. </w:t>
      </w:r>
    </w:p>
    <w:p w14:paraId="3013302E"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Note: This above agreement based on the assumption that the wake up duration is defined as the ramping time + SSB number * SSB periodicity</w:t>
      </w:r>
    </w:p>
    <w:p w14:paraId="6B2C1825"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 </w:t>
      </w:r>
    </w:p>
    <w:p w14:paraId="15A72F91"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
          <w:bCs/>
          <w:sz w:val="16"/>
          <w:szCs w:val="16"/>
          <w:u w:val="single"/>
          <w:lang w:eastAsia="zh-CN"/>
        </w:rPr>
        <w:t>Issue 1-2-7: On LP-WUR cell selection evaluation requirements for case 1</w:t>
      </w:r>
    </w:p>
    <w:p w14:paraId="49D88559" w14:textId="77777777" w:rsidR="008B21A7" w:rsidRPr="008B21A7" w:rsidRDefault="008B21A7" w:rsidP="008B21A7">
      <w:p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highlight w:val="green"/>
          <w:lang w:eastAsia="zh-CN"/>
        </w:rPr>
        <w:t>Agreement:</w:t>
      </w:r>
    </w:p>
    <w:p w14:paraId="12807F9A" w14:textId="77777777" w:rsidR="008B21A7" w:rsidRPr="008B21A7" w:rsidRDefault="008B21A7" w:rsidP="00996D60">
      <w:pPr>
        <w:numPr>
          <w:ilvl w:val="0"/>
          <w:numId w:val="11"/>
        </w:numPr>
        <w:spacing w:after="0"/>
        <w:contextualSpacing/>
        <w:jc w:val="both"/>
        <w:rPr>
          <w:rFonts w:ascii="Times New Roman" w:eastAsia="DengXian" w:hAnsi="Times New Roman"/>
          <w:bCs/>
          <w:sz w:val="16"/>
          <w:szCs w:val="16"/>
          <w:lang w:eastAsia="zh-CN"/>
        </w:rPr>
      </w:pPr>
      <w:r w:rsidRPr="008B21A7">
        <w:rPr>
          <w:rFonts w:ascii="Times New Roman" w:eastAsia="DengXian" w:hAnsi="Times New Roman"/>
          <w:bCs/>
          <w:sz w:val="16"/>
          <w:szCs w:val="16"/>
          <w:lang w:eastAsia="zh-CN"/>
        </w:rPr>
        <w:t>No need to define the LR-WUR based cell selection criterion evaluation in case 1.</w:t>
      </w:r>
    </w:p>
    <w:p w14:paraId="66ABE95F" w14:textId="77777777" w:rsidR="008B21A7" w:rsidRPr="003A1123" w:rsidRDefault="008B21A7" w:rsidP="008B21A7">
      <w:pPr>
        <w:contextualSpacing/>
        <w:jc w:val="both"/>
        <w:rPr>
          <w:rFonts w:ascii="Times" w:eastAsia="DengXian" w:hAnsi="Times" w:cs="Times"/>
          <w:bCs/>
          <w:lang w:eastAsia="zh-CN"/>
        </w:rPr>
      </w:pPr>
    </w:p>
    <w:p w14:paraId="5B83F7E4" w14:textId="77777777" w:rsidR="008B21A7" w:rsidRPr="00542EC4" w:rsidRDefault="008B21A7" w:rsidP="008B21A7">
      <w:pPr>
        <w:rPr>
          <w:lang w:eastAsia="ko-KR"/>
        </w:rPr>
      </w:pPr>
    </w:p>
    <w:p w14:paraId="6A75A36F" w14:textId="77777777" w:rsidR="003D0881" w:rsidRPr="0062534A" w:rsidRDefault="003D0881" w:rsidP="0018365A">
      <w:pPr>
        <w:rPr>
          <w:lang w:val="en-GB" w:eastAsia="zh-CN"/>
        </w:rPr>
      </w:pPr>
    </w:p>
    <w:sectPr w:rsidR="003D0881" w:rsidRPr="0062534A"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226789B"/>
    <w:multiLevelType w:val="hybridMultilevel"/>
    <w:tmpl w:val="3B7EDA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EE86421"/>
    <w:multiLevelType w:val="multilevel"/>
    <w:tmpl w:val="0860B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A8120E"/>
    <w:multiLevelType w:val="multilevel"/>
    <w:tmpl w:val="D2128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332105F"/>
    <w:multiLevelType w:val="multilevel"/>
    <w:tmpl w:val="71B21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DF91223"/>
    <w:multiLevelType w:val="hybridMultilevel"/>
    <w:tmpl w:val="F67479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E1844BD"/>
    <w:multiLevelType w:val="hybridMultilevel"/>
    <w:tmpl w:val="8C6688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CB281B"/>
    <w:multiLevelType w:val="hybridMultilevel"/>
    <w:tmpl w:val="3E6AD418"/>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6C62F03"/>
    <w:multiLevelType w:val="multilevel"/>
    <w:tmpl w:val="5F7EC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A042669"/>
    <w:multiLevelType w:val="multilevel"/>
    <w:tmpl w:val="68ECBD14"/>
    <w:lvl w:ilvl="0">
      <w:start w:val="1"/>
      <w:numFmt w:val="bulle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5"/>
      <w:numFmt w:val="bullet"/>
      <w:lvlText w:val="-"/>
      <w:lvlJc w:val="left"/>
      <w:pPr>
        <w:tabs>
          <w:tab w:val="left" w:pos="1888"/>
        </w:tabs>
        <w:ind w:left="1888" w:hanging="360"/>
      </w:pPr>
      <w:rPr>
        <w:rFonts w:ascii="Arial" w:eastAsia="Times New Roman" w:hAnsi="Arial" w:cs="Aria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14" w15:restartNumberingAfterBreak="0">
    <w:nsid w:val="6D7F640E"/>
    <w:multiLevelType w:val="multilevel"/>
    <w:tmpl w:val="65B43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146DC0"/>
    <w:multiLevelType w:val="hybridMultilevel"/>
    <w:tmpl w:val="68307FC4"/>
    <w:lvl w:ilvl="0" w:tplc="38B8759A">
      <w:start w:val="1"/>
      <w:numFmt w:val="bullet"/>
      <w:pStyle w:val="Agreement"/>
      <w:lvlText w:val="Þ"/>
      <w:lvlJc w:val="left"/>
      <w:pPr>
        <w:tabs>
          <w:tab w:val="num" w:pos="1619"/>
        </w:tabs>
        <w:ind w:left="1619"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DB064E"/>
    <w:multiLevelType w:val="multilevel"/>
    <w:tmpl w:val="3EF47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21597403">
    <w:abstractNumId w:val="3"/>
  </w:num>
  <w:num w:numId="2" w16cid:durableId="5595783">
    <w:abstractNumId w:val="9"/>
  </w:num>
  <w:num w:numId="3" w16cid:durableId="1158427270">
    <w:abstractNumId w:val="4"/>
  </w:num>
  <w:num w:numId="4" w16cid:durableId="1990287049">
    <w:abstractNumId w:val="10"/>
  </w:num>
  <w:num w:numId="5" w16cid:durableId="2098862455">
    <w:abstractNumId w:val="15"/>
  </w:num>
  <w:num w:numId="6" w16cid:durableId="896742163">
    <w:abstractNumId w:val="6"/>
  </w:num>
  <w:num w:numId="7" w16cid:durableId="2058503231">
    <w:abstractNumId w:val="2"/>
  </w:num>
  <w:num w:numId="8" w16cid:durableId="1045526101">
    <w:abstractNumId w:val="5"/>
  </w:num>
  <w:num w:numId="9" w16cid:durableId="36517636">
    <w:abstractNumId w:val="16"/>
  </w:num>
  <w:num w:numId="10" w16cid:durableId="2077432766">
    <w:abstractNumId w:val="12"/>
  </w:num>
  <w:num w:numId="11" w16cid:durableId="1925842399">
    <w:abstractNumId w:val="14"/>
  </w:num>
  <w:num w:numId="12" w16cid:durableId="697237928">
    <w:abstractNumId w:val="13"/>
  </w:num>
  <w:num w:numId="13" w16cid:durableId="1857965134">
    <w:abstractNumId w:val="1"/>
  </w:num>
  <w:num w:numId="14" w16cid:durableId="481430770">
    <w:abstractNumId w:val="0"/>
  </w:num>
  <w:num w:numId="15" w16cid:durableId="8024316">
    <w:abstractNumId w:val="8"/>
  </w:num>
  <w:num w:numId="16" w16cid:durableId="806554275">
    <w:abstractNumId w:val="7"/>
  </w:num>
  <w:num w:numId="17" w16cid:durableId="151029296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grammar="clean"/>
  <w:defaultTabStop w:val="720"/>
  <w:characterSpacingControl w:val="doNotCompress"/>
  <w:hdrShapeDefaults>
    <o:shapedefaults v:ext="edit" spidmax="9216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616"/>
    <w:rsid w:val="000028DD"/>
    <w:rsid w:val="0000311A"/>
    <w:rsid w:val="0000455C"/>
    <w:rsid w:val="000059B7"/>
    <w:rsid w:val="00006CE2"/>
    <w:rsid w:val="00010610"/>
    <w:rsid w:val="00011902"/>
    <w:rsid w:val="00012285"/>
    <w:rsid w:val="00013C93"/>
    <w:rsid w:val="00020287"/>
    <w:rsid w:val="00020FFE"/>
    <w:rsid w:val="0002181B"/>
    <w:rsid w:val="00021C68"/>
    <w:rsid w:val="00027BEA"/>
    <w:rsid w:val="000343D3"/>
    <w:rsid w:val="000362CF"/>
    <w:rsid w:val="0004162A"/>
    <w:rsid w:val="000464BA"/>
    <w:rsid w:val="0004760F"/>
    <w:rsid w:val="00050944"/>
    <w:rsid w:val="00054991"/>
    <w:rsid w:val="000559F7"/>
    <w:rsid w:val="0005707A"/>
    <w:rsid w:val="00061674"/>
    <w:rsid w:val="0006240A"/>
    <w:rsid w:val="00063945"/>
    <w:rsid w:val="00064C83"/>
    <w:rsid w:val="0006768D"/>
    <w:rsid w:val="000677EA"/>
    <w:rsid w:val="00070C3F"/>
    <w:rsid w:val="0007655C"/>
    <w:rsid w:val="00080B58"/>
    <w:rsid w:val="00080D29"/>
    <w:rsid w:val="00081027"/>
    <w:rsid w:val="0008686B"/>
    <w:rsid w:val="000912D2"/>
    <w:rsid w:val="0009603A"/>
    <w:rsid w:val="000A20E0"/>
    <w:rsid w:val="000A226E"/>
    <w:rsid w:val="000A360E"/>
    <w:rsid w:val="000A7088"/>
    <w:rsid w:val="000A7328"/>
    <w:rsid w:val="000A787E"/>
    <w:rsid w:val="000B2672"/>
    <w:rsid w:val="000B2AED"/>
    <w:rsid w:val="000B47D4"/>
    <w:rsid w:val="000B593C"/>
    <w:rsid w:val="000B696A"/>
    <w:rsid w:val="000C0661"/>
    <w:rsid w:val="000C2CCE"/>
    <w:rsid w:val="000C3430"/>
    <w:rsid w:val="000C3D34"/>
    <w:rsid w:val="000C4330"/>
    <w:rsid w:val="000C6C63"/>
    <w:rsid w:val="000C7010"/>
    <w:rsid w:val="000D1253"/>
    <w:rsid w:val="000D2C35"/>
    <w:rsid w:val="000D59C7"/>
    <w:rsid w:val="000E2DC8"/>
    <w:rsid w:val="000E47A9"/>
    <w:rsid w:val="000E6807"/>
    <w:rsid w:val="000F2D1B"/>
    <w:rsid w:val="001030C1"/>
    <w:rsid w:val="00104ACF"/>
    <w:rsid w:val="00104B6A"/>
    <w:rsid w:val="00104C28"/>
    <w:rsid w:val="00105477"/>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499"/>
    <w:rsid w:val="00172C20"/>
    <w:rsid w:val="0018365A"/>
    <w:rsid w:val="0018431E"/>
    <w:rsid w:val="001845B1"/>
    <w:rsid w:val="00186175"/>
    <w:rsid w:val="00191C5C"/>
    <w:rsid w:val="001924B7"/>
    <w:rsid w:val="001924EE"/>
    <w:rsid w:val="00192610"/>
    <w:rsid w:val="00194999"/>
    <w:rsid w:val="00194E7F"/>
    <w:rsid w:val="001A241E"/>
    <w:rsid w:val="001A2FEA"/>
    <w:rsid w:val="001A3300"/>
    <w:rsid w:val="001A7903"/>
    <w:rsid w:val="001A7BB7"/>
    <w:rsid w:val="001B1926"/>
    <w:rsid w:val="001B241A"/>
    <w:rsid w:val="001B5A6D"/>
    <w:rsid w:val="001C0ADE"/>
    <w:rsid w:val="001C6BCF"/>
    <w:rsid w:val="001D01C0"/>
    <w:rsid w:val="001D5744"/>
    <w:rsid w:val="001D5EC7"/>
    <w:rsid w:val="001E0A65"/>
    <w:rsid w:val="001E1BAD"/>
    <w:rsid w:val="001E6A9C"/>
    <w:rsid w:val="001F13E9"/>
    <w:rsid w:val="001F5CA1"/>
    <w:rsid w:val="002013B3"/>
    <w:rsid w:val="00201E90"/>
    <w:rsid w:val="00210499"/>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125D"/>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1AA1"/>
    <w:rsid w:val="00322341"/>
    <w:rsid w:val="00324C91"/>
    <w:rsid w:val="0032761C"/>
    <w:rsid w:val="0033189C"/>
    <w:rsid w:val="00336C95"/>
    <w:rsid w:val="0034374B"/>
    <w:rsid w:val="003468FB"/>
    <w:rsid w:val="00352BFE"/>
    <w:rsid w:val="003545A4"/>
    <w:rsid w:val="0035547C"/>
    <w:rsid w:val="00361092"/>
    <w:rsid w:val="00361820"/>
    <w:rsid w:val="003730EF"/>
    <w:rsid w:val="003749E8"/>
    <w:rsid w:val="0037552C"/>
    <w:rsid w:val="0037629E"/>
    <w:rsid w:val="0037719E"/>
    <w:rsid w:val="00377686"/>
    <w:rsid w:val="00383177"/>
    <w:rsid w:val="00387975"/>
    <w:rsid w:val="00393247"/>
    <w:rsid w:val="00395015"/>
    <w:rsid w:val="003A5C51"/>
    <w:rsid w:val="003A6163"/>
    <w:rsid w:val="003B5CD6"/>
    <w:rsid w:val="003C1556"/>
    <w:rsid w:val="003C1C5D"/>
    <w:rsid w:val="003C50C2"/>
    <w:rsid w:val="003C56DD"/>
    <w:rsid w:val="003D0881"/>
    <w:rsid w:val="003D09AA"/>
    <w:rsid w:val="003D49F3"/>
    <w:rsid w:val="003D7733"/>
    <w:rsid w:val="003E7AF9"/>
    <w:rsid w:val="003F10A4"/>
    <w:rsid w:val="003F1487"/>
    <w:rsid w:val="003F1522"/>
    <w:rsid w:val="003F191A"/>
    <w:rsid w:val="003F2284"/>
    <w:rsid w:val="003F30D6"/>
    <w:rsid w:val="003F697E"/>
    <w:rsid w:val="003F7F9E"/>
    <w:rsid w:val="00401136"/>
    <w:rsid w:val="00401FFB"/>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0550"/>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A7B43"/>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500F"/>
    <w:rsid w:val="00516650"/>
    <w:rsid w:val="0051782B"/>
    <w:rsid w:val="00517B15"/>
    <w:rsid w:val="00520DC6"/>
    <w:rsid w:val="0052219A"/>
    <w:rsid w:val="00522CAB"/>
    <w:rsid w:val="005241C8"/>
    <w:rsid w:val="0052581A"/>
    <w:rsid w:val="00532DB1"/>
    <w:rsid w:val="00542513"/>
    <w:rsid w:val="005433FA"/>
    <w:rsid w:val="00543E5E"/>
    <w:rsid w:val="00545B4A"/>
    <w:rsid w:val="00545B6C"/>
    <w:rsid w:val="00552732"/>
    <w:rsid w:val="00555E44"/>
    <w:rsid w:val="005575FA"/>
    <w:rsid w:val="00560550"/>
    <w:rsid w:val="00564583"/>
    <w:rsid w:val="00564D25"/>
    <w:rsid w:val="00566CF0"/>
    <w:rsid w:val="0057449E"/>
    <w:rsid w:val="0057505D"/>
    <w:rsid w:val="00575E8D"/>
    <w:rsid w:val="00583C42"/>
    <w:rsid w:val="00585607"/>
    <w:rsid w:val="00592B5F"/>
    <w:rsid w:val="00593BA2"/>
    <w:rsid w:val="00594CE5"/>
    <w:rsid w:val="005950C4"/>
    <w:rsid w:val="005A10D4"/>
    <w:rsid w:val="005A3666"/>
    <w:rsid w:val="005A4001"/>
    <w:rsid w:val="005B0E5B"/>
    <w:rsid w:val="005B3EC0"/>
    <w:rsid w:val="005B4B64"/>
    <w:rsid w:val="005B7E9E"/>
    <w:rsid w:val="005C16E7"/>
    <w:rsid w:val="005C2ED2"/>
    <w:rsid w:val="005C4644"/>
    <w:rsid w:val="005C65A3"/>
    <w:rsid w:val="005C6CAC"/>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06352"/>
    <w:rsid w:val="00610534"/>
    <w:rsid w:val="0061135E"/>
    <w:rsid w:val="00620158"/>
    <w:rsid w:val="006225FB"/>
    <w:rsid w:val="0062534A"/>
    <w:rsid w:val="00625E30"/>
    <w:rsid w:val="00630BF2"/>
    <w:rsid w:val="006326B2"/>
    <w:rsid w:val="006339DA"/>
    <w:rsid w:val="00634B5D"/>
    <w:rsid w:val="00643F10"/>
    <w:rsid w:val="006449C9"/>
    <w:rsid w:val="00647526"/>
    <w:rsid w:val="00652BD3"/>
    <w:rsid w:val="0065698D"/>
    <w:rsid w:val="00657C7A"/>
    <w:rsid w:val="0066119A"/>
    <w:rsid w:val="00664529"/>
    <w:rsid w:val="00666EB6"/>
    <w:rsid w:val="006677BB"/>
    <w:rsid w:val="006731F3"/>
    <w:rsid w:val="0067467B"/>
    <w:rsid w:val="006763E9"/>
    <w:rsid w:val="00676DAD"/>
    <w:rsid w:val="00682662"/>
    <w:rsid w:val="00683AFD"/>
    <w:rsid w:val="00685EC0"/>
    <w:rsid w:val="00690466"/>
    <w:rsid w:val="00691624"/>
    <w:rsid w:val="00691AA7"/>
    <w:rsid w:val="006A3181"/>
    <w:rsid w:val="006A39AE"/>
    <w:rsid w:val="006A6639"/>
    <w:rsid w:val="006B1856"/>
    <w:rsid w:val="006B5B69"/>
    <w:rsid w:val="006B5BD4"/>
    <w:rsid w:val="006B6B15"/>
    <w:rsid w:val="006C20C4"/>
    <w:rsid w:val="006C7C34"/>
    <w:rsid w:val="006D0AA3"/>
    <w:rsid w:val="006D151A"/>
    <w:rsid w:val="006D1813"/>
    <w:rsid w:val="006D368F"/>
    <w:rsid w:val="006D5962"/>
    <w:rsid w:val="006E27D1"/>
    <w:rsid w:val="006E5B76"/>
    <w:rsid w:val="006E7D43"/>
    <w:rsid w:val="006F2930"/>
    <w:rsid w:val="006F30A0"/>
    <w:rsid w:val="00700866"/>
    <w:rsid w:val="0070422F"/>
    <w:rsid w:val="00704408"/>
    <w:rsid w:val="007045A8"/>
    <w:rsid w:val="00712CDD"/>
    <w:rsid w:val="00712DC4"/>
    <w:rsid w:val="0071359B"/>
    <w:rsid w:val="0071555E"/>
    <w:rsid w:val="00717D75"/>
    <w:rsid w:val="007215C8"/>
    <w:rsid w:val="00725A44"/>
    <w:rsid w:val="007269ED"/>
    <w:rsid w:val="00730790"/>
    <w:rsid w:val="0073304A"/>
    <w:rsid w:val="00733FF8"/>
    <w:rsid w:val="00734D32"/>
    <w:rsid w:val="007367D3"/>
    <w:rsid w:val="00740114"/>
    <w:rsid w:val="007408D3"/>
    <w:rsid w:val="00745917"/>
    <w:rsid w:val="00750D3B"/>
    <w:rsid w:val="00755199"/>
    <w:rsid w:val="00757912"/>
    <w:rsid w:val="00764CCE"/>
    <w:rsid w:val="00767213"/>
    <w:rsid w:val="00770AB4"/>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332D"/>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362B"/>
    <w:rsid w:val="00834DE3"/>
    <w:rsid w:val="00836D23"/>
    <w:rsid w:val="00842FC0"/>
    <w:rsid w:val="008440E1"/>
    <w:rsid w:val="00845C8A"/>
    <w:rsid w:val="00845DEA"/>
    <w:rsid w:val="0084641A"/>
    <w:rsid w:val="008576A8"/>
    <w:rsid w:val="00864238"/>
    <w:rsid w:val="00871628"/>
    <w:rsid w:val="008751B4"/>
    <w:rsid w:val="00876ABB"/>
    <w:rsid w:val="00882664"/>
    <w:rsid w:val="00887CFE"/>
    <w:rsid w:val="00891598"/>
    <w:rsid w:val="00892BE1"/>
    <w:rsid w:val="00892FED"/>
    <w:rsid w:val="0089369E"/>
    <w:rsid w:val="0089383E"/>
    <w:rsid w:val="00895B54"/>
    <w:rsid w:val="0089695F"/>
    <w:rsid w:val="008A5D84"/>
    <w:rsid w:val="008A7C5D"/>
    <w:rsid w:val="008B21A7"/>
    <w:rsid w:val="008B36BD"/>
    <w:rsid w:val="008B746A"/>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1766A"/>
    <w:rsid w:val="00920727"/>
    <w:rsid w:val="009216EB"/>
    <w:rsid w:val="00923BFF"/>
    <w:rsid w:val="00926CC2"/>
    <w:rsid w:val="009300B3"/>
    <w:rsid w:val="009300C8"/>
    <w:rsid w:val="0093141D"/>
    <w:rsid w:val="00931710"/>
    <w:rsid w:val="00931F66"/>
    <w:rsid w:val="009350CE"/>
    <w:rsid w:val="00943939"/>
    <w:rsid w:val="00946BC1"/>
    <w:rsid w:val="00947EDE"/>
    <w:rsid w:val="00950C93"/>
    <w:rsid w:val="009518A0"/>
    <w:rsid w:val="0095458B"/>
    <w:rsid w:val="00954AEC"/>
    <w:rsid w:val="00955B10"/>
    <w:rsid w:val="00956B4E"/>
    <w:rsid w:val="00961AA4"/>
    <w:rsid w:val="00965FE1"/>
    <w:rsid w:val="009661B0"/>
    <w:rsid w:val="00966569"/>
    <w:rsid w:val="00966906"/>
    <w:rsid w:val="009669EC"/>
    <w:rsid w:val="00967CC9"/>
    <w:rsid w:val="00972AAC"/>
    <w:rsid w:val="00975516"/>
    <w:rsid w:val="00977BBB"/>
    <w:rsid w:val="00985517"/>
    <w:rsid w:val="00985612"/>
    <w:rsid w:val="009938ED"/>
    <w:rsid w:val="00996D60"/>
    <w:rsid w:val="009A0FD5"/>
    <w:rsid w:val="009A1476"/>
    <w:rsid w:val="009B3B2A"/>
    <w:rsid w:val="009B7330"/>
    <w:rsid w:val="009C0ACC"/>
    <w:rsid w:val="009C38E7"/>
    <w:rsid w:val="009C6E39"/>
    <w:rsid w:val="009D11CF"/>
    <w:rsid w:val="009D3475"/>
    <w:rsid w:val="009D3D40"/>
    <w:rsid w:val="009D6008"/>
    <w:rsid w:val="009D725A"/>
    <w:rsid w:val="009E44A8"/>
    <w:rsid w:val="009E744B"/>
    <w:rsid w:val="009E7C72"/>
    <w:rsid w:val="009F02FA"/>
    <w:rsid w:val="009F139E"/>
    <w:rsid w:val="009F567F"/>
    <w:rsid w:val="009F751D"/>
    <w:rsid w:val="00A01C4C"/>
    <w:rsid w:val="00A029DE"/>
    <w:rsid w:val="00A03B5B"/>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56F8"/>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167FA"/>
    <w:rsid w:val="00B250D5"/>
    <w:rsid w:val="00B26CFB"/>
    <w:rsid w:val="00B32751"/>
    <w:rsid w:val="00B32D49"/>
    <w:rsid w:val="00B4455E"/>
    <w:rsid w:val="00B4464E"/>
    <w:rsid w:val="00B44CFE"/>
    <w:rsid w:val="00B46189"/>
    <w:rsid w:val="00B52E2A"/>
    <w:rsid w:val="00B53F51"/>
    <w:rsid w:val="00B54454"/>
    <w:rsid w:val="00B576F0"/>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3EB6"/>
    <w:rsid w:val="00BC740F"/>
    <w:rsid w:val="00BD0CC3"/>
    <w:rsid w:val="00BD12AC"/>
    <w:rsid w:val="00BD34F9"/>
    <w:rsid w:val="00BD57B1"/>
    <w:rsid w:val="00BD59C6"/>
    <w:rsid w:val="00BD64D2"/>
    <w:rsid w:val="00BE4B38"/>
    <w:rsid w:val="00BE4D1B"/>
    <w:rsid w:val="00BF1D07"/>
    <w:rsid w:val="00BF69E7"/>
    <w:rsid w:val="00BF7D26"/>
    <w:rsid w:val="00C02D53"/>
    <w:rsid w:val="00C04BF5"/>
    <w:rsid w:val="00C04DC6"/>
    <w:rsid w:val="00C126DD"/>
    <w:rsid w:val="00C145B6"/>
    <w:rsid w:val="00C14822"/>
    <w:rsid w:val="00C178CE"/>
    <w:rsid w:val="00C20CA4"/>
    <w:rsid w:val="00C26256"/>
    <w:rsid w:val="00C34C4E"/>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85C8E"/>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A23"/>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A4DDB"/>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06D59"/>
    <w:rsid w:val="00E1349E"/>
    <w:rsid w:val="00E1451D"/>
    <w:rsid w:val="00E16784"/>
    <w:rsid w:val="00E20796"/>
    <w:rsid w:val="00E21216"/>
    <w:rsid w:val="00E2135F"/>
    <w:rsid w:val="00E2183D"/>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3747"/>
    <w:rsid w:val="00EA417A"/>
    <w:rsid w:val="00EA4F36"/>
    <w:rsid w:val="00EB0DA4"/>
    <w:rsid w:val="00EB3575"/>
    <w:rsid w:val="00EB4152"/>
    <w:rsid w:val="00EB63D8"/>
    <w:rsid w:val="00EB6504"/>
    <w:rsid w:val="00EB78EC"/>
    <w:rsid w:val="00EC2535"/>
    <w:rsid w:val="00EC4601"/>
    <w:rsid w:val="00EC5518"/>
    <w:rsid w:val="00EC76D0"/>
    <w:rsid w:val="00EC76DA"/>
    <w:rsid w:val="00ED06F5"/>
    <w:rsid w:val="00ED10BA"/>
    <w:rsid w:val="00ED6687"/>
    <w:rsid w:val="00ED715D"/>
    <w:rsid w:val="00EE126B"/>
    <w:rsid w:val="00EE4BAA"/>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59E"/>
    <w:rsid w:val="00F26D58"/>
    <w:rsid w:val="00F31234"/>
    <w:rsid w:val="00F31368"/>
    <w:rsid w:val="00F32EF1"/>
    <w:rsid w:val="00F33BD6"/>
    <w:rsid w:val="00F342CC"/>
    <w:rsid w:val="00F3711E"/>
    <w:rsid w:val="00F40933"/>
    <w:rsid w:val="00F425FB"/>
    <w:rsid w:val="00F42E1E"/>
    <w:rsid w:val="00F51F15"/>
    <w:rsid w:val="00F558B4"/>
    <w:rsid w:val="00F55A37"/>
    <w:rsid w:val="00F611EB"/>
    <w:rsid w:val="00F67E09"/>
    <w:rsid w:val="00F711E2"/>
    <w:rsid w:val="00F726B8"/>
    <w:rsid w:val="00F72C2A"/>
    <w:rsid w:val="00F755C9"/>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6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
    <w:basedOn w:val="TableNormal"/>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uiPriority w:val="99"/>
    <w:qFormat/>
    <w:rsid w:val="008B21A7"/>
    <w:pPr>
      <w:numPr>
        <w:numId w:val="5"/>
      </w:numPr>
      <w:spacing w:before="60" w:after="0"/>
    </w:pPr>
    <w:rPr>
      <w:rFonts w:ascii="Times New Roman" w:eastAsia="MS Mincho" w:hAnsi="Times New Roman"/>
      <w:b/>
      <w:color w:val="C45911" w:themeColor="accent2" w:themeShade="BF"/>
      <w:sz w:val="16"/>
      <w:szCs w:val="24"/>
      <w:lang w:val="en-GB" w:eastAsia="en-GB"/>
    </w:rPr>
  </w:style>
  <w:style w:type="paragraph" w:customStyle="1" w:styleId="Comments">
    <w:name w:val="Comments"/>
    <w:basedOn w:val="Normal"/>
    <w:link w:val="CommentsChar"/>
    <w:qFormat/>
    <w:rsid w:val="00996D60"/>
    <w:pPr>
      <w:spacing w:before="40" w:after="0"/>
    </w:pPr>
    <w:rPr>
      <w:rFonts w:eastAsia="MS Mincho"/>
      <w:i/>
      <w:noProof/>
      <w:sz w:val="16"/>
      <w:szCs w:val="24"/>
      <w:lang w:val="en-GB" w:eastAsia="en-GB"/>
    </w:rPr>
  </w:style>
  <w:style w:type="character" w:customStyle="1" w:styleId="CommentsChar">
    <w:name w:val="Comments Char"/>
    <w:link w:val="Comments"/>
    <w:qFormat/>
    <w:rsid w:val="00996D60"/>
    <w:rPr>
      <w:rFonts w:ascii="Arial" w:eastAsia="MS Mincho" w:hAnsi="Arial"/>
      <w:i/>
      <w:noProof/>
      <w:sz w:val="16"/>
      <w:szCs w:val="24"/>
    </w:rPr>
  </w:style>
  <w:style w:type="character" w:customStyle="1" w:styleId="EditorsNoteChar">
    <w:name w:val="Editor's Note Char"/>
    <w:aliases w:val="EN Char"/>
    <w:link w:val="EditorsNote"/>
    <w:qFormat/>
    <w:rsid w:val="001E1BAD"/>
    <w:rPr>
      <w:rFonts w:eastAsia="Times New Roman"/>
      <w:color w:val="FF0000"/>
      <w:lang w:eastAsia="ja-JP"/>
    </w:rPr>
  </w:style>
  <w:style w:type="paragraph" w:customStyle="1" w:styleId="EditorsNote">
    <w:name w:val="Editor's Note"/>
    <w:basedOn w:val="NO"/>
    <w:link w:val="EditorsNoteChar"/>
    <w:qFormat/>
    <w:rsid w:val="001E1BAD"/>
    <w:pPr>
      <w:overflowPunct w:val="0"/>
      <w:autoSpaceDE w:val="0"/>
      <w:autoSpaceDN w:val="0"/>
      <w:adjustRightInd w:val="0"/>
      <w:textAlignment w:val="baseline"/>
    </w:pPr>
    <w:rPr>
      <w:rFonts w:ascii="Calibri" w:hAnsi="Calibri"/>
      <w:color w:val="FF0000"/>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06352"/>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2_RL2/TSGR2_129bis/Docs//R2-2501743.zip" TargetMode="External"/><Relationship Id="rId3" Type="http://schemas.openxmlformats.org/officeDocument/2006/relationships/settings" Target="settings.xml"/><Relationship Id="rId7" Type="http://schemas.openxmlformats.org/officeDocument/2006/relationships/hyperlink" Target="http://www.3gpp.org/ftp//tsg_ran/WG2_RL2/TSGR2_129bis/Docs//R2-2502911.zip" TargetMode="External"/><Relationship Id="rId12" Type="http://schemas.openxmlformats.org/officeDocument/2006/relationships/hyperlink" Target="http://www.3gpp.org/ftp//tsg_ran/WG2_RL2/TSGR2_129bis/Docs//R2-2503032.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29bis/Docs//R2-2502154.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59</TotalTime>
  <Pages>7</Pages>
  <Words>2610</Words>
  <Characters>13054</Characters>
  <Application>Microsoft Office Word</Application>
  <DocSecurity>0</DocSecurity>
  <Lines>283</Lines>
  <Paragraphs>214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8</cp:revision>
  <cp:lastPrinted>2009-10-21T14:47:00Z</cp:lastPrinted>
  <dcterms:created xsi:type="dcterms:W3CDTF">2025-05-08T17:50:00Z</dcterms:created>
  <dcterms:modified xsi:type="dcterms:W3CDTF">2025-05-09T09:50:00Z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